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376">
      <w:pPr>
        <w:pStyle w:val="1"/>
      </w:pPr>
      <w:r>
        <w:rPr>
          <w:rStyle w:val="a4"/>
        </w:rPr>
        <w:t>Информация Банка России от 31 октября 2014 г.</w:t>
      </w:r>
      <w:r>
        <w:rPr>
          <w:rStyle w:val="a4"/>
        </w:rPr>
        <w:br/>
        <w:t>"О ключевой ставке Банка России"</w:t>
      </w:r>
    </w:p>
    <w:p w:rsidR="00000000" w:rsidRDefault="004543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54376">
      <w:pPr>
        <w:pStyle w:val="afa"/>
      </w:pPr>
      <w:bookmarkStart w:id="0" w:name="sub_955195836"/>
      <w:r>
        <w:t xml:space="preserve">См. </w:t>
      </w:r>
      <w:r>
        <w:rPr>
          <w:rStyle w:val="a4"/>
        </w:rPr>
        <w:t>справку</w:t>
      </w:r>
      <w:r>
        <w:t xml:space="preserve"> о процентных ставках по операциям Банка России</w:t>
      </w:r>
    </w:p>
    <w:bookmarkEnd w:id="0"/>
    <w:p w:rsidR="00000000" w:rsidRDefault="00454376">
      <w:r>
        <w:t xml:space="preserve">Совет директоров Банка России 31 октября 2014 года принял решение повысить </w:t>
      </w:r>
      <w:r>
        <w:rPr>
          <w:rStyle w:val="a4"/>
        </w:rPr>
        <w:t>ключевую ставку</w:t>
      </w:r>
      <w:r>
        <w:t xml:space="preserve"> до 9,50% годовых. В сентябре-октябре внешние условия существенно и</w:t>
      </w:r>
      <w:r>
        <w:t>зменились: цены на нефть значительно снизились, при этом произошло ужесточение санкций, введенных отдельными странами, в отношении ряда крупных российских компаний. В этих условиях происходило ослабление рубля, что наряду с введенными в августе ограничения</w:t>
      </w:r>
      <w:r>
        <w:t>ми на импорт отдельных продовольственных товаров привело к дальнейшему ускорению роста потребительских цен. По оценкам Банка России, до конца I квартала 2015 года инфляция останется на уровне выше 8%. Сохранение высоких темпов роста потребительских цен про</w:t>
      </w:r>
      <w:r>
        <w:t>должительное время ведет к повышению инфляционных ожиданий, что создает дополнительные инфляционные риски. Банк России продолжит принимать меры, направленные на замедление роста потребительских цен до целевого уровня 4% в среднесрочной перспективе. В случа</w:t>
      </w:r>
      <w:r>
        <w:t>е улучшения внешних условий, формирования устойчивой тенденции к снижению инфляции и инфляционных ожиданий Банк России будет готов начать смягчение денежно-кредитной политики.</w:t>
      </w:r>
    </w:p>
    <w:p w:rsidR="00000000" w:rsidRDefault="00454376">
      <w:r>
        <w:t xml:space="preserve">В сентябре-октябре инфляция увеличивалась более быстрыми темпами, чем ожидалось </w:t>
      </w:r>
      <w:r>
        <w:t>ранее. По оценке на 27 октября, годовой темп прироста потребительских цен составил 8,4%. Базовая инфляция в сентябре 2014 года повысилась до 8,2%. Увеличение инфляции происходило в основном за счет ускорения роста цен продовольственных товаров: с 10,3% в а</w:t>
      </w:r>
      <w:r>
        <w:t>вгусте до 11,4% в сентябре. Темпы роста цен на непродовольственные товары оставались стабильными на уровне 5,5%. Основное влияние на динамику инфляции оказало ослабление рубля и внешнеторговые ограничения, введенные в августе 2014 года. По оценкам Банка Ро</w:t>
      </w:r>
      <w:r>
        <w:t>ссии, совокупный вклад указанных факторов в годовой темп прироста потребительских цен по итогам года составит около 2,5 п.п. (из них 1,2 п.п. - вклад внешнеторговых ограничений, введенных в августе; 1,3 п.п. - вклад ослабления рубля с начала года). На фоне</w:t>
      </w:r>
      <w:r>
        <w:t xml:space="preserve"> ускорения роста потребительских цен инфляционные ожидания населения и бизнеса продолжили расти, что оказывало дополнительное давление на цены.</w:t>
      </w:r>
    </w:p>
    <w:p w:rsidR="00000000" w:rsidRDefault="00454376">
      <w:r>
        <w:t>Произошедшее ужесточение денежно-кредитных условий пока не компенсировало влияние указанных выше факторов на инф</w:t>
      </w:r>
      <w:r>
        <w:t>ляционные ожидания. Тем не менее динамика денежно-кредитных агрегатов создает предпосылки к снижению инфляции в среднесрочной перспективе. По оценке на 1 октября 2014 года, годовой темп прироста денежной массы (М2) составил 7,4% по сравнению с 16,1% по сос</w:t>
      </w:r>
      <w:r>
        <w:t>тоянию на аналогичную дату предыдущего года. Рост ставок по депозитам населения продолжился, что будет поддерживать склонность к сбережению и формировать условия для перетока наличных средств на банковские вклады. На фоне повышения процентных ставок по кре</w:t>
      </w:r>
      <w:r>
        <w:t>дитам и требований банков к качеству заемщиков и обеспечения наблюдается некоторое замедление темпов роста кредитования экономики (с поправкой на валютную переоценку).</w:t>
      </w:r>
    </w:p>
    <w:p w:rsidR="00000000" w:rsidRDefault="00454376">
      <w:r>
        <w:t>По оценкам Банка России, годовой темп прироста ВВП в III квартале 2014 года составил 0,2</w:t>
      </w:r>
      <w:r>
        <w:t>%. Замедление экономического роста пока не оказывает выраженного сдерживающего влияния на темпы роста потребительских цен, поскольку в значительной степени обусловлено причинами структурного характера. Загрузка факторов производства - рабочей силы и конкур</w:t>
      </w:r>
      <w:r>
        <w:t xml:space="preserve">ентоспособных производственных мощностей - находится на высоком уровне. При этом производительность труда растет </w:t>
      </w:r>
      <w:r>
        <w:lastRenderedPageBreak/>
        <w:t>медленно. Вследствие долгосрочных демографических тенденций наблюдается снижение предложения рабочей силы. Кроме структурных факторов, негативн</w:t>
      </w:r>
      <w:r>
        <w:t>ое влияние на экономическую активность оказывает возросшая внешнеполитическая неопределенность. В условиях ограниченной доступности долгосрочных финансовых ресурсов и ужесточение требований к качеству заемщиков со стороны российских банков инвестиции в осн</w:t>
      </w:r>
      <w:r>
        <w:t xml:space="preserve">овной капитал сокращаются. При этом происходит охлаждение потребительского спроса по мере замедления роста реальной заработной платы и розничного кредитования. Внешнеэкономические условия оказывают сдерживающее влияние на российскую экономику: наблюдается </w:t>
      </w:r>
      <w:r>
        <w:t>существенное снижение цен на нефть, при этом экономическая активность в большинстве стран - торговых партнеров России остается слабой. Вместе с тем поддержку отдельным отраслям экономики оказывает курсовая динамика и ограничения на импорт ряда продовольств</w:t>
      </w:r>
      <w:r>
        <w:t>енных товаров. По оценкам Банка России, в IV квартале 2014 года и I квартале 2015 года темпы экономического роста будут близкими к нулю.</w:t>
      </w:r>
    </w:p>
    <w:p w:rsidR="00000000" w:rsidRDefault="00454376">
      <w:r>
        <w:t>Темп прироста потребительских цен с высокой вероятностью сохранится до конца I квартала 2015 года вблизи текущих значен</w:t>
      </w:r>
      <w:r>
        <w:t>ий, что будет обусловлено сохранением значительного влияния на цены ограничений на импорт отдельных продовольственных товаров и ослабления рубля в августе-октябре 2014 года. В дальнейшем по мере постепенной адаптации экономики к внешнеторговым ограничениям</w:t>
      </w:r>
      <w:r>
        <w:t xml:space="preserve"> и исчерпания влияния курсовой динамики на цены ожидается возобновление снижения инфляции и инфляционных ожиданий. Замедлению роста потребительских цен будет также способствовать низкий агрегированный спрос при сохранении совокупного выпуска товаров и услу</w:t>
      </w:r>
      <w:r>
        <w:t>г ниже потенциального уровня. Вместе с тем снижение инфляции будет происходить более медленными темпами, чем ожидалось ранее. Банк России продолжит принимать меры, направленные на стабилизацию инфляционных ожиданий и замедление роста потребительских цен до</w:t>
      </w:r>
      <w:r>
        <w:t> целевого уровня в среднесрочной перспективе. В случае улучшения внешних условий, формирования устойчивой тенденции к снижению инфляции и инфляционных ожиданий Банк России будет готов начать смягчение денежно-кредитной политики.</w:t>
      </w:r>
    </w:p>
    <w:p w:rsidR="00000000" w:rsidRDefault="00454376">
      <w:r>
        <w:t xml:space="preserve">Следующее заседание Совета </w:t>
      </w:r>
      <w:r>
        <w:t xml:space="preserve">директоров Банка России, на котором будет рассматриваться вопрос об уровне </w:t>
      </w:r>
      <w:r>
        <w:rPr>
          <w:rStyle w:val="a4"/>
        </w:rPr>
        <w:t>ключевой ставки</w:t>
      </w:r>
      <w:r>
        <w:t>, запланировано на 11 декабря 2014 года. Время публикации пресс-релиза о решении Совета директоров Банка России - 13:30 по моско</w:t>
      </w:r>
      <w:r>
        <w:t>вскому времени.</w:t>
      </w:r>
    </w:p>
    <w:p w:rsidR="00000000" w:rsidRDefault="00454376"/>
    <w:p w:rsidR="00000000" w:rsidRDefault="00454376">
      <w:pPr>
        <w:pStyle w:val="1"/>
      </w:pPr>
      <w:bookmarkStart w:id="1" w:name="sub_100"/>
      <w:r>
        <w:t>Процентные ставки по основным операциям Банка России</w:t>
      </w:r>
      <w:r>
        <w:rPr>
          <w:rStyle w:val="a4"/>
        </w:rPr>
        <w:t>*</w:t>
      </w:r>
      <w:r>
        <w:br/>
        <w:t>(% годовых)</w:t>
      </w:r>
    </w:p>
    <w:bookmarkEnd w:id="1"/>
    <w:p w:rsidR="00000000" w:rsidRDefault="00454376"/>
    <w:p w:rsidR="00000000" w:rsidRDefault="00454376">
      <w:pPr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7"/>
        <w:gridCol w:w="1324"/>
        <w:gridCol w:w="3152"/>
        <w:gridCol w:w="2863"/>
        <w:gridCol w:w="2435"/>
        <w:gridCol w:w="2079"/>
        <w:gridCol w:w="2101"/>
      </w:tblGrid>
      <w:tr w:rsidR="00000000" w:rsidRPr="00454376">
        <w:tblPrEx>
          <w:tblCellMar>
            <w:top w:w="0" w:type="dxa"/>
            <w:bottom w:w="0" w:type="dxa"/>
          </w:tblCellMar>
        </w:tblPrEx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lastRenderedPageBreak/>
              <w:t>Назначение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Вид инструмента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Инструмент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Срок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с 28.07.14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с 05.11.14</w:t>
            </w:r>
          </w:p>
        </w:tc>
      </w:tr>
      <w:tr w:rsidR="00000000" w:rsidRPr="00454376">
        <w:tblPrEx>
          <w:tblCellMar>
            <w:top w:w="0" w:type="dxa"/>
            <w:bottom w:w="0" w:type="dxa"/>
          </w:tblCellMar>
        </w:tblPrEx>
        <w:tc>
          <w:tcPr>
            <w:tcW w:w="26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Предоставление ликвидности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Операции постоянного действия (по фиксированным процентным ставкам)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РЕПО;</w:t>
            </w:r>
            <w:r w:rsidRPr="00454376">
              <w:rPr>
                <w:rFonts w:eastAsiaTheme="minorEastAsia"/>
              </w:rPr>
              <w:br/>
              <w:t>кредиты "овернайт";</w:t>
            </w:r>
            <w:r w:rsidRPr="00454376">
              <w:rPr>
                <w:rFonts w:eastAsiaTheme="minorEastAsia"/>
              </w:rPr>
              <w:br/>
            </w:r>
            <w:r w:rsidRPr="00454376">
              <w:rPr>
                <w:rStyle w:val="a4"/>
                <w:rFonts w:eastAsiaTheme="minorEastAsia"/>
                <w:b w:val="0"/>
                <w:bCs w:val="0"/>
              </w:rPr>
              <w:t>ломбардные кредиты</w:t>
            </w:r>
            <w:r w:rsidRPr="00454376">
              <w:rPr>
                <w:rFonts w:eastAsiaTheme="minorEastAsia"/>
              </w:rPr>
              <w:t>;</w:t>
            </w:r>
            <w:r w:rsidRPr="00454376">
              <w:rPr>
                <w:rFonts w:eastAsiaTheme="minorEastAsia"/>
              </w:rPr>
              <w:br/>
              <w:t>кредиты, обеспеченные золотом;</w:t>
            </w:r>
            <w:r w:rsidRPr="00454376">
              <w:rPr>
                <w:rFonts w:eastAsiaTheme="minorEastAsia"/>
              </w:rPr>
              <w:br/>
              <w:t>кредиты, обеспеченные нерыночными активами или поручительствами;</w:t>
            </w:r>
            <w:r w:rsidRPr="00454376">
              <w:rPr>
                <w:rFonts w:eastAsiaTheme="minorEastAsia"/>
              </w:rPr>
              <w:br/>
              <w:t>сделки "валю</w:t>
            </w:r>
            <w:r w:rsidRPr="00454376">
              <w:rPr>
                <w:rFonts w:eastAsiaTheme="minorEastAsia"/>
              </w:rPr>
              <w:t>тный своп" (рублевая часть)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1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9,00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10,50</w:t>
            </w:r>
          </w:p>
        </w:tc>
      </w:tr>
      <w:tr w:rsidR="00000000" w:rsidRPr="00454376">
        <w:tblPrEx>
          <w:tblCellMar>
            <w:top w:w="0" w:type="dxa"/>
            <w:bottom w:w="0" w:type="dxa"/>
          </w:tblCellMar>
        </w:tblPrEx>
        <w:tc>
          <w:tcPr>
            <w:tcW w:w="2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Операции на аукционной основе (минимальные процентные ставки)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Аукционы по предоставлению кредитов, обеспеченных нерыночными активами</w:t>
            </w:r>
            <w:r w:rsidRPr="00454376">
              <w:rPr>
                <w:rStyle w:val="a4"/>
                <w:rFonts w:eastAsiaTheme="minorEastAsia"/>
                <w:b w:val="0"/>
                <w:bCs w:val="0"/>
              </w:rPr>
              <w:t>**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3 месяца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8,25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9,75</w:t>
            </w:r>
          </w:p>
        </w:tc>
      </w:tr>
      <w:tr w:rsidR="00000000" w:rsidRPr="00454376">
        <w:tblPrEx>
          <w:tblCellMar>
            <w:top w:w="0" w:type="dxa"/>
            <w:bottom w:w="0" w:type="dxa"/>
          </w:tblCellMar>
        </w:tblPrEx>
        <w:tc>
          <w:tcPr>
            <w:tcW w:w="2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Аукционы РЕПО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от 1 до 6 дней</w:t>
            </w:r>
            <w:r w:rsidRPr="00454376">
              <w:rPr>
                <w:rStyle w:val="a4"/>
                <w:rFonts w:eastAsiaTheme="minorEastAsia"/>
                <w:b w:val="0"/>
                <w:bCs w:val="0"/>
              </w:rPr>
              <w:t>***</w:t>
            </w:r>
            <w:r w:rsidRPr="00454376">
              <w:rPr>
                <w:rFonts w:eastAsiaTheme="minorEastAsia"/>
              </w:rPr>
              <w:t xml:space="preserve">, </w:t>
            </w:r>
            <w:r w:rsidRPr="00454376">
              <w:rPr>
                <w:rFonts w:eastAsiaTheme="minorEastAsia"/>
              </w:rPr>
              <w:br/>
              <w:t>1 неделя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8,00</w:t>
            </w:r>
            <w:r w:rsidRPr="00454376">
              <w:rPr>
                <w:rFonts w:eastAsiaTheme="minorEastAsia"/>
              </w:rPr>
              <w:br/>
              <w:t>(</w:t>
            </w:r>
            <w:r w:rsidRPr="00454376">
              <w:rPr>
                <w:rStyle w:val="a4"/>
                <w:rFonts w:eastAsiaTheme="minorEastAsia"/>
                <w:b w:val="0"/>
                <w:bCs w:val="0"/>
              </w:rPr>
              <w:t>ключевая ставка</w:t>
            </w:r>
            <w:r w:rsidRPr="00454376">
              <w:rPr>
                <w:rFonts w:eastAsiaTheme="minorEastAsia"/>
              </w:rPr>
              <w:t>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9,50</w:t>
            </w:r>
            <w:r w:rsidRPr="00454376">
              <w:rPr>
                <w:rFonts w:eastAsiaTheme="minorEastAsia"/>
              </w:rPr>
              <w:br/>
              <w:t>(</w:t>
            </w:r>
            <w:r w:rsidRPr="00454376">
              <w:rPr>
                <w:rStyle w:val="a4"/>
                <w:rFonts w:eastAsiaTheme="minorEastAsia"/>
                <w:b w:val="0"/>
                <w:bCs w:val="0"/>
              </w:rPr>
              <w:t>ключевая ставка</w:t>
            </w:r>
            <w:r w:rsidRPr="00454376">
              <w:rPr>
                <w:rFonts w:eastAsiaTheme="minorEastAsia"/>
              </w:rPr>
              <w:t>)</w:t>
            </w:r>
          </w:p>
        </w:tc>
      </w:tr>
      <w:tr w:rsidR="00000000" w:rsidRPr="00454376">
        <w:tblPrEx>
          <w:tblCellMar>
            <w:top w:w="0" w:type="dxa"/>
            <w:bottom w:w="0" w:type="dxa"/>
          </w:tblCellMar>
        </w:tblPrEx>
        <w:tc>
          <w:tcPr>
            <w:tcW w:w="26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Абсорбирование ликвидности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Операции на </w:t>
            </w:r>
            <w:r w:rsidRPr="00454376">
              <w:rPr>
                <w:rFonts w:eastAsiaTheme="minorEastAsia"/>
              </w:rPr>
              <w:t>аукционной основе (максимальные процентные ставки)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Депозитные аукционы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от 1 до 6 дней</w:t>
            </w:r>
            <w:r w:rsidRPr="00454376">
              <w:rPr>
                <w:rStyle w:val="a4"/>
                <w:rFonts w:eastAsiaTheme="minorEastAsia"/>
                <w:b w:val="0"/>
                <w:bCs w:val="0"/>
              </w:rPr>
              <w:t>***</w:t>
            </w:r>
            <w:r w:rsidRPr="00454376">
              <w:rPr>
                <w:rFonts w:eastAsiaTheme="minorEastAsia"/>
              </w:rPr>
              <w:t xml:space="preserve">, </w:t>
            </w:r>
            <w:r w:rsidRPr="00454376">
              <w:rPr>
                <w:rFonts w:eastAsiaTheme="minorEastAsia"/>
              </w:rPr>
              <w:br/>
              <w:t>1 неделя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54376" w:rsidRDefault="00454376">
            <w:pPr>
              <w:pStyle w:val="aff6"/>
              <w:rPr>
                <w:rFonts w:eastAsiaTheme="minorEastAsia"/>
              </w:rPr>
            </w:pPr>
          </w:p>
        </w:tc>
      </w:tr>
      <w:tr w:rsidR="00000000" w:rsidRPr="00454376">
        <w:tblPrEx>
          <w:tblCellMar>
            <w:top w:w="0" w:type="dxa"/>
            <w:bottom w:w="0" w:type="dxa"/>
          </w:tblCellMar>
        </w:tblPrEx>
        <w:tc>
          <w:tcPr>
            <w:tcW w:w="2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Операции постоянного действия (по фиксированным процентным ставкам)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Депозитные операции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1 день, до востребования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7,00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54376" w:rsidRDefault="00454376">
            <w:pPr>
              <w:pStyle w:val="aff6"/>
              <w:jc w:val="center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8,50</w:t>
            </w:r>
          </w:p>
        </w:tc>
      </w:tr>
      <w:tr w:rsidR="00000000" w:rsidRPr="00454376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454376" w:rsidRDefault="0045437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3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Style w:val="a3"/>
                <w:rFonts w:eastAsiaTheme="minorEastAsia"/>
              </w:rPr>
              <w:t>Справочно</w:t>
            </w:r>
            <w:r w:rsidRPr="00454376">
              <w:rPr>
                <w:rFonts w:eastAsiaTheme="minorEastAsia"/>
              </w:rPr>
              <w:t>:</w:t>
            </w:r>
          </w:p>
        </w:tc>
      </w:tr>
      <w:tr w:rsidR="00000000" w:rsidRPr="00454376">
        <w:tblPrEx>
          <w:tblCellMar>
            <w:top w:w="0" w:type="dxa"/>
            <w:bottom w:w="0" w:type="dxa"/>
          </w:tblCellMar>
        </w:tblPrEx>
        <w:tc>
          <w:tcPr>
            <w:tcW w:w="111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Style w:val="a4"/>
                <w:rFonts w:eastAsiaTheme="minorEastAsia"/>
                <w:b w:val="0"/>
                <w:bCs w:val="0"/>
              </w:rPr>
              <w:t>Ставка рефинансирования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8,25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54376" w:rsidRDefault="00454376">
            <w:pPr>
              <w:pStyle w:val="afff"/>
              <w:rPr>
                <w:rFonts w:eastAsiaTheme="minorEastAsia"/>
              </w:rPr>
            </w:pPr>
            <w:r w:rsidRPr="00454376">
              <w:rPr>
                <w:rFonts w:eastAsiaTheme="minorEastAsia"/>
              </w:rPr>
              <w:t>8,25</w:t>
            </w:r>
          </w:p>
        </w:tc>
      </w:tr>
    </w:tbl>
    <w:p w:rsidR="00000000" w:rsidRDefault="0045437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54376"/>
    <w:p w:rsidR="00000000" w:rsidRDefault="00454376">
      <w:bookmarkStart w:id="2" w:name="sub_111"/>
      <w:r>
        <w:t xml:space="preserve">* Информация о ставках по всем операциям Банка России представлена в </w:t>
      </w:r>
      <w:r>
        <w:rPr>
          <w:rStyle w:val="a4"/>
        </w:rPr>
        <w:t>таблице</w:t>
      </w:r>
      <w:r>
        <w:t xml:space="preserve"> "Процентные ставки по операциям Банка России".</w:t>
      </w:r>
    </w:p>
    <w:p w:rsidR="00000000" w:rsidRDefault="00454376">
      <w:bookmarkStart w:id="3" w:name="sub_222"/>
      <w:bookmarkEnd w:id="2"/>
      <w:r>
        <w:t xml:space="preserve">** Плавающая процентная ставка, привязанная к уровню </w:t>
      </w:r>
      <w:r>
        <w:rPr>
          <w:rStyle w:val="a4"/>
        </w:rPr>
        <w:t>ключевой ставки</w:t>
      </w:r>
      <w:r>
        <w:t xml:space="preserve"> Банка России.</w:t>
      </w:r>
    </w:p>
    <w:p w:rsidR="00000000" w:rsidRDefault="00454376">
      <w:bookmarkStart w:id="4" w:name="sub_333"/>
      <w:bookmarkEnd w:id="3"/>
      <w:r>
        <w:t>*** Операции "тонкой настройки".</w:t>
      </w:r>
    </w:p>
    <w:bookmarkEnd w:id="4"/>
    <w:p w:rsidR="00454376" w:rsidRDefault="00454376"/>
    <w:sectPr w:rsidR="0045437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49"/>
    <w:rsid w:val="000F5166"/>
    <w:rsid w:val="00454376"/>
    <w:rsid w:val="0071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6083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2014-11-10T06:37:00Z</dcterms:created>
  <dcterms:modified xsi:type="dcterms:W3CDTF">2014-11-10T06:37:00Z</dcterms:modified>
</cp:coreProperties>
</file>