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1B8E">
      <w:pPr>
        <w:pStyle w:val="1"/>
      </w:pPr>
      <w:r>
        <w:rPr>
          <w:rStyle w:val="a4"/>
        </w:rPr>
        <w:t>Информация Банка России от 11 декабря 2014 г.</w:t>
      </w:r>
      <w:r>
        <w:rPr>
          <w:rStyle w:val="a4"/>
        </w:rPr>
        <w:br/>
        <w:t>"О ключевой ставке Банка России"</w:t>
      </w:r>
    </w:p>
    <w:p w:rsidR="00000000" w:rsidRDefault="00E11B8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11B8E">
      <w:pPr>
        <w:pStyle w:val="afa"/>
      </w:pPr>
      <w:bookmarkStart w:id="0" w:name="sub_919188408"/>
      <w:r>
        <w:t xml:space="preserve">См. </w:t>
      </w:r>
      <w:r>
        <w:rPr>
          <w:rStyle w:val="a4"/>
        </w:rPr>
        <w:t>справку</w:t>
      </w:r>
      <w:r>
        <w:t xml:space="preserve"> о процентных ставках по операциям Банка России</w:t>
      </w:r>
    </w:p>
    <w:bookmarkEnd w:id="0"/>
    <w:p w:rsidR="00000000" w:rsidRDefault="00E11B8E">
      <w:r>
        <w:t xml:space="preserve">Совет директоров Банка России 11 декабря 2014 года принял решение повысить </w:t>
      </w:r>
      <w:r>
        <w:rPr>
          <w:rStyle w:val="a4"/>
        </w:rPr>
        <w:t>ключевую ставку</w:t>
      </w:r>
      <w:r>
        <w:t xml:space="preserve"> до 10,50% годовых. В ноябре - начале декабря 2014 года ускорение р</w:t>
      </w:r>
      <w:r>
        <w:t xml:space="preserve">оста потребительских цен продолжилось. Наблюдался рост инфляционных и девальвационных ожиданий, что создает значительные инфляционные риски. Принятое решение Банка России направлено на обеспечение замедления роста потребительских цен до целевого уровня 4% </w:t>
      </w:r>
      <w:r>
        <w:t>в среднесрочной перспективе. В случае дальнейшего усиления инфляционных рисков Банк России продолжит повышение ключевой ставки.</w:t>
      </w:r>
    </w:p>
    <w:p w:rsidR="00000000" w:rsidRDefault="00E11B8E">
      <w:r>
        <w:t>В ноябре - начале декабря увеличение инфляции продолжилось. По оценке на 8 декабря, годовой темп прироста потребительских цен со</w:t>
      </w:r>
      <w:r>
        <w:t xml:space="preserve">ставил 9,4%. Базовая инфляция в ноябре 2014 года повысилась до 8,9%. Ускорение роста потребительских цен обусловлено продолжением ослабления рубля во втором полугодии 2014 года. Влияние на цены также оказали внешнеторговые ограничения, введенные в августе </w:t>
      </w:r>
      <w:r>
        <w:t>2014 года. Вместе с тем темпы удорожания отдельных групп продовольственных товаров стабилизировались, что было обусловлено увеличением объема их предложения российскими компаниями и заключением новых импортных контрактов. В условиях ускорения роста потреби</w:t>
      </w:r>
      <w:r>
        <w:t>тельских цен инфляционные ожидания населения и бизнеса продолжили расти, создавая дополнительное давление на цены. По оценкам Банка России, инфляция в 2014 году составит около 10%. При этом совокупный вклад ослабления рубля, ограничений на импорт и специфи</w:t>
      </w:r>
      <w:r>
        <w:t>ческих факторов на рынках отдельных продовольственных товаров в годовой темп прироста потребительских цен по итогам года составит до 4,9 процентного пункта.</w:t>
      </w:r>
    </w:p>
    <w:p w:rsidR="00000000" w:rsidRDefault="00E11B8E">
      <w:r>
        <w:t>Произошедшее ужесточение денежно-кредитных условий не компенсирует влияние проинфляционных факторов</w:t>
      </w:r>
      <w:r>
        <w:t>. Однако складывающиеся денежно-кредитные условия создают предпосылки к снижению инфляции в среднесрочной перспективе. По оценке на 1 декабря 2014 года, годовой темп прироста денежной массы (М</w:t>
      </w:r>
      <w:proofErr w:type="gramStart"/>
      <w:r>
        <w:t>2</w:t>
      </w:r>
      <w:proofErr w:type="gramEnd"/>
      <w:r>
        <w:t>) составил 4,8%, снизившись с 14,6% по состоянию на аналогичную</w:t>
      </w:r>
      <w:r>
        <w:t xml:space="preserve"> дату предыдущего года. Рост ставок по депозитам населения продолжился, что будет стимулировать склонность к сбережению и формировать условия для притока средств на банковские вклады. На фоне повышения процентных ставок по кредитам и требований банков к ка</w:t>
      </w:r>
      <w:r>
        <w:t xml:space="preserve">честву заемщиков и обеспечения наблюдается некоторое замедление роста кредитования экономики (с поправкой на валютную переоценку). Учитывая сегодняшнее решение и лаги воздействия от ранее принятых решений Банка России в области процентной </w:t>
      </w:r>
      <w:proofErr w:type="gramStart"/>
      <w:r>
        <w:t>политики на эконо</w:t>
      </w:r>
      <w:r>
        <w:t>мику</w:t>
      </w:r>
      <w:proofErr w:type="gramEnd"/>
      <w:r>
        <w:t>, этот процесс продолжится.</w:t>
      </w:r>
    </w:p>
    <w:p w:rsidR="00000000" w:rsidRDefault="00E11B8E">
      <w:r>
        <w:t>По оценкам Банка России, годовой темп прироста ВВП в 2014 году составит 0,6%. Замедление экономического роста пока не оказывает выраженного сдерживающего влияния на темпы роста потребительских цен, поскольку в значительной с</w:t>
      </w:r>
      <w:r>
        <w:t>тепени обусловлено причинами структурного характера. Загрузка факторов производства - рабочей силы и конкурентоспособных производственных мощностей - находится на высоком уровне. При этом производительность труда растет медленно. Вследствие долгосрочных де</w:t>
      </w:r>
      <w:r>
        <w:t xml:space="preserve">мографических тенденций наблюдается снижение предложения рабочей силы. Негативное влияние на экономическую активность оказывают также сохранение внешнеполитической неопределенности и существенное ухудшение внешних условий в связи со снижением цен на нефть </w:t>
      </w:r>
      <w:r>
        <w:t xml:space="preserve">и закрытием внешних финансовых рынков для российских заемщиков. В условиях роста </w:t>
      </w:r>
      <w:r>
        <w:lastRenderedPageBreak/>
        <w:t>цен на импортируемые товары инвестиционного назначения, ограниченной доступности долгосрочных финансовых ресурсов и ужесточения условий кредитования инвестиции в основной капи</w:t>
      </w:r>
      <w:r>
        <w:t xml:space="preserve">тал сокращаются. При </w:t>
      </w:r>
      <w:proofErr w:type="gramStart"/>
      <w:r>
        <w:t>этом</w:t>
      </w:r>
      <w:proofErr w:type="gramEnd"/>
      <w:r>
        <w:t xml:space="preserve"> несмотря на существенное замедление роста реальной заработной платы и розничного кредитования наблюдается некоторое восстановление потребительской активности, что обусловлено увеличением спроса на непродовольственные товары на фон</w:t>
      </w:r>
      <w:r>
        <w:t xml:space="preserve">е роста инфляционных ожиданий. Курсовая динамика отчасти компенсирует негативный эффект ухудшения внешних условий и способствует повышению конкурентоспособности российских товаров. Кроме того, ограничения на импорт ряда продовольственных товаров оказывают </w:t>
      </w:r>
      <w:r>
        <w:t>поддержку соответствующим отраслям экономики.</w:t>
      </w:r>
    </w:p>
    <w:p w:rsidR="00000000" w:rsidRDefault="00E11B8E">
      <w:r>
        <w:t>В связи с существенным изменением внешних условий Банк России пересмотрел прогноз макроэкономического развития на среднесрочную перспективу. В предстоящий трехлетний период темпы экономического роста будут ниже</w:t>
      </w:r>
      <w:r>
        <w:t>, чем прогнозировалось ранее в базовом сценарии, что обусловлено сохранением цен на нефть на более низком уровне. В 2015 - 2016 годах ожидаются близкие к нулю годовые темпы прироста ВВП. В условиях сохранения ограничений на доступ к международным рынкам ка</w:t>
      </w:r>
      <w:r>
        <w:t>питала для российских компаний и относительно низких цен на энергоносители продолжится сокращение инвестиций в основной капитал. Потребительская активность останется слабой. В то же время изменившийся механизм курсообразования создаст предпосылки для более</w:t>
      </w:r>
      <w:r>
        <w:t xml:space="preserve"> быстрой адаптации российской экономики к изменениям внешних условий. В 2017 году ожидается некоторое восстановление экономической активности, чему будет способствовать развитие импортозамещающих отраслей и увеличение несырьевого экспорта.</w:t>
      </w:r>
    </w:p>
    <w:p w:rsidR="00000000" w:rsidRDefault="00E11B8E">
      <w:r>
        <w:t>Произошедшее осл</w:t>
      </w:r>
      <w:r>
        <w:t>абление рубля продолжит оказывать влияние на цены товаров и услуг в ближайшие месяцы. В I квартале 2015 года инфляция может превысить 10%. Однако по мере исчерпания влияния курсовой динамики на цены, постепенной подстройки экономики к изменению внешних усл</w:t>
      </w:r>
      <w:r>
        <w:t>овий и введенным ограничениям на импорт прогнозируется снижение инфляции и инфляционных ожиданий. Замедлению роста потребительских цен будет также способствовать низкий агрегированный спрос при сохранении совокупного выпуска товаров и услуг ниже потенциаль</w:t>
      </w:r>
      <w:r>
        <w:t xml:space="preserve">ного уровня. Проводимая денежно-кредитная политика позволит обеспечить снижение инфляции до целевого уровня 4% в среднесрочной перспективе. В случае дальнейшего усиления инфляционных рисков Банк России продолжит повышение </w:t>
      </w:r>
      <w:r>
        <w:rPr>
          <w:rStyle w:val="a4"/>
        </w:rPr>
        <w:t>ключевой ставки</w:t>
      </w:r>
      <w:r>
        <w:t>. При формировании устойчивой тенденции к снижению инфляции и инфляционных ожиданий Банк России будет готов начать смягчение денежно-кредитной политики.</w:t>
      </w:r>
    </w:p>
    <w:p w:rsidR="00000000" w:rsidRDefault="00E11B8E">
      <w:r>
        <w:t>Следующее заседание Совета директоров Банка России, на котором будет рассматриваться</w:t>
      </w:r>
      <w:r>
        <w:t xml:space="preserve"> вопрос об уровне </w:t>
      </w:r>
      <w:r>
        <w:rPr>
          <w:rStyle w:val="a4"/>
        </w:rPr>
        <w:t>ключевой ставки</w:t>
      </w:r>
      <w:r>
        <w:t>, запланировано на 30 января 2015 года. Время публикации пресс-релиза о решении Совета директоров Банка России - 13:30 по московскому времени.</w:t>
      </w:r>
    </w:p>
    <w:p w:rsidR="00000000" w:rsidRDefault="00E11B8E"/>
    <w:p w:rsidR="00000000" w:rsidRDefault="00E11B8E">
      <w:pPr>
        <w:pStyle w:val="1"/>
      </w:pPr>
      <w:bookmarkStart w:id="1" w:name="sub_100"/>
      <w:r>
        <w:t>Процентные ставки по основным опер</w:t>
      </w:r>
      <w:r>
        <w:t>ациям Банка России</w:t>
      </w:r>
      <w:r>
        <w:rPr>
          <w:rStyle w:val="a4"/>
        </w:rPr>
        <w:t>*</w:t>
      </w:r>
      <w:r>
        <w:br/>
        <w:t xml:space="preserve">(% </w:t>
      </w:r>
      <w:proofErr w:type="gramStart"/>
      <w:r>
        <w:t>годовых</w:t>
      </w:r>
      <w:proofErr w:type="gramEnd"/>
      <w:r>
        <w:t>)</w:t>
      </w:r>
    </w:p>
    <w:bookmarkEnd w:id="1"/>
    <w:p w:rsidR="00000000" w:rsidRDefault="00E11B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1960"/>
        <w:gridCol w:w="2380"/>
        <w:gridCol w:w="1540"/>
        <w:gridCol w:w="1260"/>
        <w:gridCol w:w="1260"/>
      </w:tblGrid>
      <w:tr w:rsidR="00000000" w:rsidRPr="00E11B8E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1B8E" w:rsidRDefault="00E11B8E">
            <w:pPr>
              <w:pStyle w:val="aff6"/>
              <w:jc w:val="center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t>Назначение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1B8E" w:rsidRDefault="00E11B8E">
            <w:pPr>
              <w:pStyle w:val="aff6"/>
              <w:jc w:val="center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t>Вид инструмента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1B8E" w:rsidRDefault="00E11B8E">
            <w:pPr>
              <w:pStyle w:val="aff6"/>
              <w:jc w:val="center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t>Инструмент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1B8E" w:rsidRDefault="00E11B8E">
            <w:pPr>
              <w:pStyle w:val="aff6"/>
              <w:jc w:val="center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t>Срок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1B8E" w:rsidRDefault="00E11B8E">
            <w:pPr>
              <w:pStyle w:val="aff6"/>
              <w:jc w:val="center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t>с 05.11.14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1B8E" w:rsidRDefault="00E11B8E">
            <w:pPr>
              <w:pStyle w:val="aff6"/>
              <w:jc w:val="center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t>с 12.12.14</w:t>
            </w:r>
          </w:p>
        </w:tc>
      </w:tr>
      <w:tr w:rsidR="00000000" w:rsidRPr="00E11B8E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1B8E" w:rsidRDefault="00E11B8E">
            <w:pPr>
              <w:pStyle w:val="afff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t>Предоставление ликвидности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1B8E" w:rsidRDefault="00E11B8E">
            <w:pPr>
              <w:pStyle w:val="afff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t xml:space="preserve">Операции постоянного действия (по </w:t>
            </w:r>
            <w:r w:rsidRPr="00E11B8E">
              <w:rPr>
                <w:rFonts w:eastAsiaTheme="minorEastAsia"/>
              </w:rPr>
              <w:lastRenderedPageBreak/>
              <w:t>фиксированным процентным ставкам)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1B8E" w:rsidRDefault="00E11B8E">
            <w:pPr>
              <w:pStyle w:val="afff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lastRenderedPageBreak/>
              <w:t>РЕПО;</w:t>
            </w:r>
            <w:r w:rsidRPr="00E11B8E">
              <w:rPr>
                <w:rFonts w:eastAsiaTheme="minorEastAsia"/>
              </w:rPr>
              <w:br/>
              <w:t>кредиты "овернайт";</w:t>
            </w:r>
          </w:p>
          <w:p w:rsidR="00000000" w:rsidRPr="00E11B8E" w:rsidRDefault="00E11B8E">
            <w:pPr>
              <w:pStyle w:val="afff"/>
              <w:rPr>
                <w:rFonts w:eastAsiaTheme="minorEastAsia"/>
              </w:rPr>
            </w:pPr>
            <w:r w:rsidRPr="00E11B8E">
              <w:rPr>
                <w:rStyle w:val="a4"/>
                <w:rFonts w:eastAsiaTheme="minorEastAsia"/>
                <w:b w:val="0"/>
                <w:bCs w:val="0"/>
              </w:rPr>
              <w:lastRenderedPageBreak/>
              <w:t>ломбардные кредиты</w:t>
            </w:r>
            <w:r w:rsidRPr="00E11B8E">
              <w:rPr>
                <w:rFonts w:eastAsiaTheme="minorEastAsia"/>
              </w:rPr>
              <w:t>;</w:t>
            </w:r>
          </w:p>
          <w:p w:rsidR="00000000" w:rsidRPr="00E11B8E" w:rsidRDefault="00E11B8E">
            <w:pPr>
              <w:pStyle w:val="afff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t>кредиты, обеспеченные золотом;</w:t>
            </w:r>
          </w:p>
          <w:p w:rsidR="00000000" w:rsidRPr="00E11B8E" w:rsidRDefault="00E11B8E">
            <w:pPr>
              <w:pStyle w:val="afff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t>кредиты, обеспеченные нерыночными активами или поручительствами;</w:t>
            </w:r>
          </w:p>
          <w:p w:rsidR="00000000" w:rsidRPr="00E11B8E" w:rsidRDefault="00E11B8E">
            <w:pPr>
              <w:pStyle w:val="afff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t>сделки "валютный своп" (рублевая часть)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1B8E" w:rsidRDefault="00E11B8E">
            <w:pPr>
              <w:pStyle w:val="aff6"/>
              <w:jc w:val="center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lastRenderedPageBreak/>
              <w:t>1 день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1B8E" w:rsidRDefault="00E11B8E">
            <w:pPr>
              <w:pStyle w:val="aff6"/>
              <w:jc w:val="center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t>10,50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1B8E" w:rsidRDefault="00E11B8E">
            <w:pPr>
              <w:pStyle w:val="aff6"/>
              <w:jc w:val="center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t>11,50</w:t>
            </w:r>
          </w:p>
        </w:tc>
      </w:tr>
      <w:tr w:rsidR="00000000" w:rsidRPr="00E11B8E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1B8E" w:rsidRDefault="00E11B8E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1B8E" w:rsidRDefault="00E11B8E">
            <w:pPr>
              <w:pStyle w:val="afff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t>Операции на аукционной основе (минимальные процентные ставки)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1B8E" w:rsidRDefault="00E11B8E">
            <w:pPr>
              <w:pStyle w:val="afff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t>Аукционы по предоставлению кредитов, обеспеченных нерыночными активами</w:t>
            </w:r>
            <w:r w:rsidRPr="00E11B8E">
              <w:rPr>
                <w:rStyle w:val="a4"/>
                <w:rFonts w:eastAsiaTheme="minorEastAsia"/>
                <w:b w:val="0"/>
                <w:bCs w:val="0"/>
              </w:rPr>
              <w:t>**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1B8E" w:rsidRDefault="00E11B8E">
            <w:pPr>
              <w:pStyle w:val="aff6"/>
              <w:jc w:val="center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t>3 месяца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1B8E" w:rsidRDefault="00E11B8E">
            <w:pPr>
              <w:pStyle w:val="aff6"/>
              <w:jc w:val="center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t>9,75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1B8E" w:rsidRDefault="00E11B8E">
            <w:pPr>
              <w:pStyle w:val="aff6"/>
              <w:jc w:val="center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t>10,75</w:t>
            </w:r>
          </w:p>
        </w:tc>
      </w:tr>
      <w:tr w:rsidR="00000000" w:rsidRPr="00E11B8E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1B8E" w:rsidRDefault="00E11B8E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1B8E" w:rsidRDefault="00E11B8E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1B8E" w:rsidRDefault="00E11B8E">
            <w:pPr>
              <w:pStyle w:val="afff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t>Аукционы РЕПО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1B8E" w:rsidRDefault="00E11B8E">
            <w:pPr>
              <w:pStyle w:val="aff6"/>
              <w:jc w:val="center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t>от 1 до 6 дней</w:t>
            </w:r>
            <w:r w:rsidRPr="00E11B8E">
              <w:rPr>
                <w:rStyle w:val="a4"/>
                <w:rFonts w:eastAsiaTheme="minorEastAsia"/>
                <w:b w:val="0"/>
                <w:bCs w:val="0"/>
              </w:rPr>
              <w:t>***</w:t>
            </w:r>
            <w:r w:rsidRPr="00E11B8E">
              <w:rPr>
                <w:rFonts w:eastAsiaTheme="minorEastAsia"/>
              </w:rPr>
              <w:t>, 1 неделя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1B8E" w:rsidRDefault="00E11B8E">
            <w:pPr>
              <w:pStyle w:val="aff6"/>
              <w:jc w:val="center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t>9,50</w:t>
            </w:r>
            <w:r w:rsidRPr="00E11B8E">
              <w:rPr>
                <w:rFonts w:eastAsiaTheme="minorEastAsia"/>
              </w:rPr>
              <w:br/>
              <w:t>(</w:t>
            </w:r>
            <w:r w:rsidRPr="00E11B8E">
              <w:rPr>
                <w:rStyle w:val="a4"/>
                <w:rFonts w:eastAsiaTheme="minorEastAsia"/>
                <w:b w:val="0"/>
                <w:bCs w:val="0"/>
              </w:rPr>
              <w:t>ключевая ставка</w:t>
            </w:r>
            <w:r w:rsidRPr="00E11B8E">
              <w:rPr>
                <w:rFonts w:eastAsiaTheme="minorEastAsia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1B8E" w:rsidRDefault="00E11B8E">
            <w:pPr>
              <w:pStyle w:val="aff6"/>
              <w:jc w:val="center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t>10,50</w:t>
            </w:r>
            <w:r w:rsidRPr="00E11B8E">
              <w:rPr>
                <w:rFonts w:eastAsiaTheme="minorEastAsia"/>
              </w:rPr>
              <w:br/>
              <w:t>(</w:t>
            </w:r>
            <w:r w:rsidRPr="00E11B8E">
              <w:rPr>
                <w:rStyle w:val="a4"/>
                <w:rFonts w:eastAsiaTheme="minorEastAsia"/>
                <w:b w:val="0"/>
                <w:bCs w:val="0"/>
              </w:rPr>
              <w:t>ключевая ставка</w:t>
            </w:r>
            <w:r w:rsidRPr="00E11B8E">
              <w:rPr>
                <w:rFonts w:eastAsiaTheme="minorEastAsia"/>
              </w:rPr>
              <w:t>)</w:t>
            </w:r>
          </w:p>
        </w:tc>
      </w:tr>
      <w:tr w:rsidR="00000000" w:rsidRPr="00E11B8E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1B8E" w:rsidRDefault="00E11B8E">
            <w:pPr>
              <w:pStyle w:val="afff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t>Абсорбирование ликвидности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1B8E" w:rsidRDefault="00E11B8E">
            <w:pPr>
              <w:pStyle w:val="afff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t>Операции на аукционной основе (максимальные процентные ставки)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1B8E" w:rsidRDefault="00E11B8E">
            <w:pPr>
              <w:pStyle w:val="afff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t>Депозитные аукционы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1B8E" w:rsidRDefault="00E11B8E">
            <w:pPr>
              <w:pStyle w:val="aff6"/>
              <w:jc w:val="center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t>от 1 до 6 дней</w:t>
            </w:r>
            <w:r w:rsidRPr="00E11B8E">
              <w:rPr>
                <w:rStyle w:val="a4"/>
                <w:rFonts w:eastAsiaTheme="minorEastAsia"/>
                <w:b w:val="0"/>
                <w:bCs w:val="0"/>
              </w:rPr>
              <w:t>***</w:t>
            </w:r>
            <w:r w:rsidRPr="00E11B8E">
              <w:rPr>
                <w:rFonts w:eastAsiaTheme="minorEastAsia"/>
              </w:rPr>
              <w:t>, 1 неделя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1B8E" w:rsidRDefault="00E11B8E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1B8E" w:rsidRDefault="00E11B8E">
            <w:pPr>
              <w:pStyle w:val="aff6"/>
              <w:rPr>
                <w:rFonts w:eastAsiaTheme="minorEastAsia"/>
              </w:rPr>
            </w:pPr>
          </w:p>
        </w:tc>
      </w:tr>
      <w:tr w:rsidR="00000000" w:rsidRPr="00E11B8E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1B8E" w:rsidRDefault="00E11B8E">
            <w:pPr>
              <w:pStyle w:val="aff6"/>
              <w:rPr>
                <w:rFonts w:eastAsiaTheme="minorEastAsi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1B8E" w:rsidRDefault="00E11B8E">
            <w:pPr>
              <w:pStyle w:val="afff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t>Операции постоянного действия (по фиксированным процентным ставкам)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1B8E" w:rsidRDefault="00E11B8E">
            <w:pPr>
              <w:pStyle w:val="afff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t>Депозитные операции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1B8E" w:rsidRDefault="00E11B8E">
            <w:pPr>
              <w:pStyle w:val="aff6"/>
              <w:jc w:val="center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t>1 день, до востребования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1B8E" w:rsidRDefault="00E11B8E">
            <w:pPr>
              <w:pStyle w:val="aff6"/>
              <w:jc w:val="center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t>8,50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1B8E" w:rsidRDefault="00E11B8E">
            <w:pPr>
              <w:pStyle w:val="aff6"/>
              <w:jc w:val="center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t>9,50</w:t>
            </w:r>
          </w:p>
        </w:tc>
      </w:tr>
      <w:tr w:rsidR="00000000" w:rsidRPr="00E11B8E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1B8E" w:rsidRDefault="00E11B8E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1B8E" w:rsidRDefault="00E11B8E">
            <w:pPr>
              <w:pStyle w:val="afff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t>Справочно:</w:t>
            </w:r>
          </w:p>
        </w:tc>
      </w:tr>
      <w:tr w:rsidR="00000000" w:rsidRPr="00E11B8E">
        <w:tblPrEx>
          <w:tblCellMar>
            <w:top w:w="0" w:type="dxa"/>
            <w:bottom w:w="0" w:type="dxa"/>
          </w:tblCellMar>
        </w:tblPrEx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1B8E" w:rsidRDefault="00E11B8E">
            <w:pPr>
              <w:pStyle w:val="afff"/>
              <w:rPr>
                <w:rFonts w:eastAsiaTheme="minorEastAsia"/>
              </w:rPr>
            </w:pPr>
            <w:r w:rsidRPr="00E11B8E">
              <w:rPr>
                <w:rStyle w:val="a4"/>
                <w:rFonts w:eastAsiaTheme="minorEastAsia"/>
                <w:b w:val="0"/>
                <w:bCs w:val="0"/>
              </w:rPr>
              <w:t>Ставка рефинансирования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1B8E" w:rsidRDefault="00E11B8E">
            <w:pPr>
              <w:pStyle w:val="aff6"/>
              <w:jc w:val="center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t>8,25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1B8E" w:rsidRDefault="00E11B8E">
            <w:pPr>
              <w:pStyle w:val="aff6"/>
              <w:jc w:val="center"/>
              <w:rPr>
                <w:rFonts w:eastAsiaTheme="minorEastAsia"/>
              </w:rPr>
            </w:pPr>
            <w:r w:rsidRPr="00E11B8E">
              <w:rPr>
                <w:rFonts w:eastAsiaTheme="minorEastAsia"/>
              </w:rPr>
              <w:t>8,25</w:t>
            </w:r>
          </w:p>
        </w:tc>
      </w:tr>
    </w:tbl>
    <w:p w:rsidR="00000000" w:rsidRDefault="00E11B8E"/>
    <w:p w:rsidR="00000000" w:rsidRDefault="00E11B8E">
      <w:bookmarkStart w:id="2" w:name="sub_111"/>
      <w:r>
        <w:t xml:space="preserve">* Информация о ставках по всем операциям Банка России представлена в </w:t>
      </w:r>
      <w:r>
        <w:rPr>
          <w:rStyle w:val="a4"/>
        </w:rPr>
        <w:t>таблице</w:t>
      </w:r>
      <w:r>
        <w:t xml:space="preserve"> "Процентные ставки по операциям Банка России".</w:t>
      </w:r>
    </w:p>
    <w:p w:rsidR="00000000" w:rsidRDefault="00E11B8E">
      <w:bookmarkStart w:id="3" w:name="sub_222"/>
      <w:bookmarkEnd w:id="2"/>
      <w:r>
        <w:t xml:space="preserve">** Плавающая процентная ставка, привязанная к уровню </w:t>
      </w:r>
      <w:r>
        <w:rPr>
          <w:rStyle w:val="a4"/>
        </w:rPr>
        <w:t>ключе</w:t>
      </w:r>
      <w:r>
        <w:rPr>
          <w:rStyle w:val="a4"/>
        </w:rPr>
        <w:t>вой ставки</w:t>
      </w:r>
      <w:r>
        <w:t xml:space="preserve"> Банка России.</w:t>
      </w:r>
    </w:p>
    <w:p w:rsidR="00000000" w:rsidRDefault="00E11B8E">
      <w:bookmarkStart w:id="4" w:name="sub_333"/>
      <w:bookmarkEnd w:id="3"/>
      <w:r>
        <w:t>*** Операции "тонкой настройки".</w:t>
      </w:r>
    </w:p>
    <w:bookmarkEnd w:id="4"/>
    <w:p w:rsidR="00E11B8E" w:rsidRDefault="00E11B8E"/>
    <w:sectPr w:rsidR="00E11B8E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E41"/>
    <w:rsid w:val="00146E41"/>
    <w:rsid w:val="00E1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1129</Words>
  <Characters>6436</Characters>
  <Application>Microsoft Office Word</Application>
  <DocSecurity>0</DocSecurity>
  <Lines>53</Lines>
  <Paragraphs>15</Paragraphs>
  <ScaleCrop>false</ScaleCrop>
  <Company>НПП "Гарант-Сервис"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2014-12-22T06:09:00Z</dcterms:created>
  <dcterms:modified xsi:type="dcterms:W3CDTF">2014-12-22T06:09:00Z</dcterms:modified>
</cp:coreProperties>
</file>