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48F">
      <w:pPr>
        <w:pStyle w:val="1"/>
      </w:pPr>
      <w:r>
        <w:rPr>
          <w:rStyle w:val="a4"/>
        </w:rPr>
        <w:t>Приказ Федеральной налоговой службы от 5 декабря 2014 г. N ММВ-7-8/613@</w:t>
      </w:r>
      <w:r>
        <w:rPr>
          <w:rStyle w:val="a4"/>
        </w:rPr>
        <w:br/>
        <w:t>"Об утверждении Порядка учета сумм обязательных платежей налогоплательщика, не перечисленных банком в бюджетну</w:t>
      </w:r>
      <w:r>
        <w:rPr>
          <w:rStyle w:val="a4"/>
        </w:rPr>
        <w:t>ю систему Российской Федерации"</w:t>
      </w:r>
    </w:p>
    <w:p w:rsidR="00000000" w:rsidRDefault="0044048F"/>
    <w:p w:rsidR="00000000" w:rsidRDefault="0044048F">
      <w:proofErr w:type="gramStart"/>
      <w:r>
        <w:t xml:space="preserve">В целях обеспечения реализации требований </w:t>
      </w:r>
      <w:r>
        <w:rPr>
          <w:rStyle w:val="a4"/>
        </w:rPr>
        <w:t>статьи 45</w:t>
      </w:r>
      <w:r>
        <w:t xml:space="preserve"> Налогового кодекса Российской Федерации об исполнении обязанности налогоплательщика, плательщика сборов, налогового агента (далее - налогоплательщик) по уплате налогов и сборов, совершенствования работы по предотвращению уклонения налогоплательщиков от уп</w:t>
      </w:r>
      <w:r>
        <w:t>латы налогов (сборов) путем проведения налоговых платежей через неплатежеспособные банки, обеспечения полного и точного отражения в информационных ресурсах налоговых органов сумм обязательных платежей налогоплательщиков, не перечисленных банками</w:t>
      </w:r>
      <w:proofErr w:type="gramEnd"/>
      <w:r>
        <w:t xml:space="preserve"> в бюджетну</w:t>
      </w:r>
      <w:r>
        <w:t>ю систему Российской Федерации, повышения эффективности работы налоговых органов по снижению указанных сумм приказываю:</w:t>
      </w:r>
    </w:p>
    <w:p w:rsidR="00000000" w:rsidRDefault="0044048F">
      <w:bookmarkStart w:id="0" w:name="sub_4"/>
      <w:r>
        <w:t>1. Утвердить:</w:t>
      </w:r>
    </w:p>
    <w:p w:rsidR="00000000" w:rsidRDefault="0044048F">
      <w:bookmarkStart w:id="1" w:name="sub_1"/>
      <w:bookmarkEnd w:id="0"/>
      <w:r>
        <w:t>1.1. Порядок учета сумм обязательных платежей налогоплательщика, не перечисленных банком в бюджетную систем</w:t>
      </w:r>
      <w:r>
        <w:t xml:space="preserve">у Российской Федерации, согласно </w:t>
      </w:r>
      <w:r>
        <w:rPr>
          <w:rStyle w:val="a4"/>
        </w:rPr>
        <w:t>приложению N 1</w:t>
      </w:r>
      <w:r>
        <w:t xml:space="preserve"> к настоящему приказу;</w:t>
      </w:r>
    </w:p>
    <w:p w:rsidR="00000000" w:rsidRDefault="0044048F">
      <w:bookmarkStart w:id="2" w:name="sub_2"/>
      <w:bookmarkEnd w:id="1"/>
      <w:r>
        <w:t xml:space="preserve">1.2. Форму Журнала учета сумм обязательных платежей налогоплательщиков, не перечисленных банками в бюджетную систему Российской Федерации, согласно </w:t>
      </w:r>
      <w:r>
        <w:rPr>
          <w:rStyle w:val="a4"/>
        </w:rPr>
        <w:t>приложению N 2</w:t>
      </w:r>
      <w:r>
        <w:t xml:space="preserve"> к настоящему приказу;</w:t>
      </w:r>
    </w:p>
    <w:p w:rsidR="00000000" w:rsidRDefault="0044048F">
      <w:bookmarkStart w:id="3" w:name="sub_3"/>
      <w:bookmarkEnd w:id="2"/>
      <w:r>
        <w:t xml:space="preserve">1.3. Порядок </w:t>
      </w:r>
      <w:proofErr w:type="gramStart"/>
      <w:r>
        <w:t>заполнения Журнала учета сумм обязательных платежей</w:t>
      </w:r>
      <w:proofErr w:type="gramEnd"/>
      <w:r>
        <w:t xml:space="preserve"> налогоплательщиков, не перечисленных банками в бюджетную систему Российской Федерации, согласно </w:t>
      </w:r>
      <w:r>
        <w:rPr>
          <w:rStyle w:val="a4"/>
        </w:rPr>
        <w:t>приложе</w:t>
      </w:r>
      <w:r>
        <w:rPr>
          <w:rStyle w:val="a4"/>
        </w:rPr>
        <w:t>нию N 3</w:t>
      </w:r>
      <w:r>
        <w:t xml:space="preserve"> к настоящему приказу.</w:t>
      </w:r>
    </w:p>
    <w:p w:rsidR="00000000" w:rsidRDefault="0044048F">
      <w:bookmarkStart w:id="4" w:name="sub_5"/>
      <w:bookmarkEnd w:id="3"/>
      <w:r>
        <w:t xml:space="preserve">2. Признать утратившим силу </w:t>
      </w:r>
      <w:r>
        <w:rPr>
          <w:rStyle w:val="a4"/>
        </w:rPr>
        <w:t>приказ</w:t>
      </w:r>
      <w:r>
        <w:t xml:space="preserve"> ФНС России от 11.10.2005 N САЭ-3-24/503@ "О порядке учета сумм обязательных платежей налогоплательщика, не перечисленных банком в бюджетную си</w:t>
      </w:r>
      <w:r>
        <w:t>стему Российской Федерации".</w:t>
      </w:r>
    </w:p>
    <w:p w:rsidR="00000000" w:rsidRDefault="0044048F">
      <w:bookmarkStart w:id="5" w:name="sub_6"/>
      <w:bookmarkEnd w:id="4"/>
      <w:r>
        <w:t xml:space="preserve">3. Для рассмотрения вопроса о признании обязанности налогоплательщика по уплате обязательных </w:t>
      </w:r>
      <w:proofErr w:type="gramStart"/>
      <w:r>
        <w:t>платежей</w:t>
      </w:r>
      <w:proofErr w:type="gramEnd"/>
      <w:r>
        <w:t xml:space="preserve"> в бюджетную систему Российской Федерации исполненной, принятия решений об отражении (отказе в отражении) сумм, не п</w:t>
      </w:r>
      <w:r>
        <w:t xml:space="preserve">еречисленных банками в бюджетную систему Российской Федерации, в </w:t>
      </w:r>
      <w:r>
        <w:rPr>
          <w:rStyle w:val="a4"/>
        </w:rPr>
        <w:t>Журнале</w:t>
      </w:r>
      <w:r>
        <w:t xml:space="preserve"> учета сумм обязательных платежей налогоплательщиков, не перечисленных банками в бюджетную систему Российской Федерации (далее - Журнал), а также решений об иск</w:t>
      </w:r>
      <w:r>
        <w:t xml:space="preserve">лючении сумм из Журнала создать в </w:t>
      </w:r>
      <w:proofErr w:type="gramStart"/>
      <w:r>
        <w:t>управлениях</w:t>
      </w:r>
      <w:proofErr w:type="gramEnd"/>
      <w:r>
        <w:t xml:space="preserve"> ФНС России по субъектам Российской Федерации и (или) в налоговом органе по месту нахождения налогоплательщика специальную комиссию.</w:t>
      </w:r>
    </w:p>
    <w:p w:rsidR="00000000" w:rsidRDefault="0044048F">
      <w:bookmarkStart w:id="6" w:name="sub_7"/>
      <w:bookmarkEnd w:id="5"/>
      <w:r>
        <w:t>4. Управлению информационных технологий (Т.В.Матвеева) в установленн</w:t>
      </w:r>
      <w:r>
        <w:t>ом порядке обеспечить доработку и размещение в Фонде алгоритмов и программ ФНС России (далее - ФАП) программных средств, обеспечивающих ведение Журнала.</w:t>
      </w:r>
    </w:p>
    <w:p w:rsidR="00000000" w:rsidRDefault="0044048F">
      <w:bookmarkStart w:id="7" w:name="sub_8"/>
      <w:bookmarkEnd w:id="6"/>
      <w:r>
        <w:t>5. Руководителям управлений ФНС России по субъектам Российской Федерации и начальникам межрег</w:t>
      </w:r>
      <w:r>
        <w:t xml:space="preserve">иональных инспекций ФНС России по крупнейшим налогоплательщикам в пятидневный срок после размещения программного обеспечения в ФАП обеспечить установку программных средств и ведение </w:t>
      </w:r>
      <w:r>
        <w:rPr>
          <w:rStyle w:val="a4"/>
        </w:rPr>
        <w:t>Журнала</w:t>
      </w:r>
      <w:r>
        <w:t>.</w:t>
      </w:r>
    </w:p>
    <w:p w:rsidR="00000000" w:rsidRDefault="0044048F">
      <w:bookmarkStart w:id="8" w:name="sub_9"/>
      <w:bookmarkEnd w:id="7"/>
      <w:r>
        <w:t>6. </w:t>
      </w:r>
      <w:proofErr w:type="gramStart"/>
      <w:r>
        <w:t>Контроль за</w:t>
      </w:r>
      <w:proofErr w:type="gramEnd"/>
      <w:r>
        <w:t xml:space="preserve"> исполнением наст</w:t>
      </w:r>
      <w:r>
        <w:t>оящего приказа возложить на заместителя руководителя Федеральной налоговой службы Д.В.Наумчева.</w:t>
      </w:r>
    </w:p>
    <w:bookmarkEnd w:id="8"/>
    <w:p w:rsidR="00000000" w:rsidRDefault="0044048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048F" w:rsidRDefault="0044048F">
            <w:pPr>
              <w:pStyle w:val="afff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Руководитель Федеральной</w:t>
            </w:r>
            <w:r w:rsidRPr="0044048F">
              <w:rPr>
                <w:rFonts w:eastAsiaTheme="minorEastAsia"/>
              </w:rPr>
              <w:br/>
              <w:t>налоговой службы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4048F" w:rsidRDefault="0044048F">
            <w:pPr>
              <w:pStyle w:val="aff6"/>
              <w:jc w:val="right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М.В. Мишустин</w:t>
            </w:r>
          </w:p>
        </w:tc>
      </w:tr>
    </w:tbl>
    <w:p w:rsidR="00000000" w:rsidRDefault="0044048F"/>
    <w:p w:rsidR="00000000" w:rsidRDefault="0044048F">
      <w:pPr>
        <w:ind w:firstLine="698"/>
        <w:jc w:val="right"/>
      </w:pPr>
      <w:bookmarkStart w:id="9" w:name="sub_73"/>
      <w:r>
        <w:rPr>
          <w:rStyle w:val="a3"/>
        </w:rPr>
        <w:t>Приложение N 1</w:t>
      </w:r>
    </w:p>
    <w:bookmarkEnd w:id="9"/>
    <w:p w:rsidR="00000000" w:rsidRDefault="0044048F"/>
    <w:p w:rsidR="00000000" w:rsidRDefault="0044048F">
      <w:pPr>
        <w:pStyle w:val="1"/>
      </w:pPr>
      <w:r>
        <w:t>Порядок</w:t>
      </w:r>
      <w:r>
        <w:br/>
        <w:t>учета сумм обязательных платежей налогоплательщика, не переч</w:t>
      </w:r>
      <w:r>
        <w:t>исленных банком в бюджетную систему Российской Федерации</w:t>
      </w:r>
      <w:r>
        <w:br/>
        <w:t xml:space="preserve">(утв. </w:t>
      </w:r>
      <w:r>
        <w:rPr>
          <w:rStyle w:val="a4"/>
        </w:rPr>
        <w:t>приказом</w:t>
      </w:r>
      <w:r>
        <w:t xml:space="preserve"> Федеральной налоговой службы от 5 декабря 2014 г. N ММВ-7-8/613@)</w:t>
      </w:r>
    </w:p>
    <w:p w:rsidR="00000000" w:rsidRDefault="0044048F"/>
    <w:p w:rsidR="00000000" w:rsidRDefault="0044048F">
      <w:bookmarkStart w:id="10" w:name="sub_10"/>
      <w:r>
        <w:t>1. </w:t>
      </w:r>
      <w:proofErr w:type="gramStart"/>
      <w:r>
        <w:t>Для целей настоящего Порядка учета сумм обязательных платежей налогоплательщика, не перечисленных банком в бюджетную систему Российской Федерации (далее - Порядок), под суммами обязательных платежей налогоплательщика, не перечисленными банком в бюджетную с</w:t>
      </w:r>
      <w:r>
        <w:t xml:space="preserve">истему Российской Федерации (далее - суммы, не перечисленные банком), понимаются денежные средства налогоплательщика, в отношении которых в соответствии с </w:t>
      </w:r>
      <w:r>
        <w:rPr>
          <w:rStyle w:val="a4"/>
        </w:rPr>
        <w:t>пунктом 3 статьи 45</w:t>
      </w:r>
      <w:r>
        <w:t xml:space="preserve"> Налогового кодекса Российской Федерации:</w:t>
      </w:r>
      <w:proofErr w:type="gramEnd"/>
    </w:p>
    <w:bookmarkEnd w:id="10"/>
    <w:p w:rsidR="00000000" w:rsidRDefault="0044048F">
      <w:r>
        <w:t xml:space="preserve">налогоплательщик предъявил </w:t>
      </w:r>
      <w:proofErr w:type="gramStart"/>
      <w:r>
        <w:t>в банк поручение на перечисление в бюджетную систему Российской Федерации на соответствующий счет Федерального казначейства денежных средств со счета</w:t>
      </w:r>
      <w:proofErr w:type="gramEnd"/>
      <w:r>
        <w:t xml:space="preserve"> налогоплательщика в банке при наличии на нем достаточного денежного остатка</w:t>
      </w:r>
      <w:r>
        <w:t xml:space="preserve"> на день платежа;</w:t>
      </w:r>
    </w:p>
    <w:p w:rsidR="00000000" w:rsidRDefault="0044048F">
      <w:r>
        <w:t>налогоплательщик - физическое лицо передал в банк поручение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средств, предоставленных банку физи</w:t>
      </w:r>
      <w:r>
        <w:t>ческим лицом, при условии их достаточности для перечисления;</w:t>
      </w:r>
    </w:p>
    <w:p w:rsidR="00000000" w:rsidRDefault="0044048F">
      <w:r>
        <w:t>налогоплательщик - физическое лицо внес в банк наличные денежные средства для их перечисления в бюджетную систему Российской Федерации на соответствующий счет Федерального казначейства;</w:t>
      </w:r>
    </w:p>
    <w:p w:rsidR="00000000" w:rsidRDefault="0044048F">
      <w:r>
        <w:t>зачисленн</w:t>
      </w:r>
      <w:r>
        <w:t xml:space="preserve">ые банком на балансовый счет </w:t>
      </w:r>
      <w:r>
        <w:rPr>
          <w:rStyle w:val="a4"/>
        </w:rPr>
        <w:t>N 47418</w:t>
      </w:r>
      <w:r>
        <w:t xml:space="preserve"> ("Средства, списанные со счетов клиентов, но не проведенные по корреспондентскому счету кредитной организации из-за недостаточности средств") или иной счет, в результате чего ден</w:t>
      </w:r>
      <w:r>
        <w:t>ежные средства налогоплательщика не поступили на счета по учету доходов бюджетов (далее - суммы, не перечисленные банком).</w:t>
      </w:r>
    </w:p>
    <w:p w:rsidR="00000000" w:rsidRDefault="0044048F">
      <w:bookmarkStart w:id="11" w:name="sub_11"/>
      <w:r>
        <w:t>2. </w:t>
      </w:r>
      <w:proofErr w:type="gramStart"/>
      <w:r>
        <w:t xml:space="preserve">Учет сумм, не перечисленных банком, ведется в </w:t>
      </w:r>
      <w:r>
        <w:rPr>
          <w:rStyle w:val="a4"/>
        </w:rPr>
        <w:t>Журнале</w:t>
      </w:r>
      <w:r>
        <w:t xml:space="preserve"> учета сумм обязательных платежей налогоплатель</w:t>
      </w:r>
      <w:r>
        <w:t>щиков, не перечисленных банками в бюджетную систему Российской Федерации (далее - Журнал учета) в налоговом органе по месту нахождения налогоплательщика на основании сообщения банка о неисполнении (частичном исполнении) поручения налогоплательщика, реестро</w:t>
      </w:r>
      <w:r>
        <w:t>в расчетных документов на перечисление обязательных платежей клиентов в бюджетную систему Российской Федерации, не исполненных банком (филиалом) в связи</w:t>
      </w:r>
      <w:proofErr w:type="gramEnd"/>
      <w:r>
        <w:t xml:space="preserve"> с отсутствием денежных средств на корреспондентском счете банка (субсчете филиала), составленных по рез</w:t>
      </w:r>
      <w:r>
        <w:t>ультатам проведения контрольных мероприятий налоговым органом по месту учета кредитной организации; платежного поручения (его копии), представленного налогоплательщиком в налоговый орган.</w:t>
      </w:r>
    </w:p>
    <w:p w:rsidR="00000000" w:rsidRDefault="0044048F">
      <w:bookmarkStart w:id="12" w:name="sub_12"/>
      <w:bookmarkEnd w:id="11"/>
      <w:r>
        <w:t>3. Процедура рассмотрения специально созданной в Управле</w:t>
      </w:r>
      <w:r>
        <w:t>нии ФНС России по субъекту Российской Федерации (далее - Управление) комиссией вопроса о признании исполненной обязанности по уплате обязательных платежей в бюджетную систему Российской Федерации, а также порядок принятия решений об отражении (отказе в отр</w:t>
      </w:r>
      <w:r>
        <w:t xml:space="preserve">ажении) в </w:t>
      </w:r>
      <w:r>
        <w:rPr>
          <w:rStyle w:val="a4"/>
        </w:rPr>
        <w:t>Журнале</w:t>
      </w:r>
      <w:r>
        <w:t xml:space="preserve"> учета сумм, не перечисленных банком, определяется </w:t>
      </w:r>
      <w:r>
        <w:lastRenderedPageBreak/>
        <w:t>руководителем этого Управления.</w:t>
      </w:r>
    </w:p>
    <w:bookmarkEnd w:id="12"/>
    <w:p w:rsidR="00000000" w:rsidRDefault="0044048F">
      <w:r>
        <w:t>Руководитель Управления вправе передать полномочия по рассмотрению вопроса о признании исполненной обязанности налогоплательщи</w:t>
      </w:r>
      <w:r>
        <w:t>ка по уплате обязательных платежей, принятию решения об отражении (отказе в отражении) в Журнале учета сумм, не перечисленных банком, комиссиям территориальных налоговых органов по месту нахождения налогоплательщика (далее - территориальный налоговый орган</w:t>
      </w:r>
      <w:r>
        <w:t>).</w:t>
      </w:r>
    </w:p>
    <w:p w:rsidR="00000000" w:rsidRDefault="0044048F">
      <w:bookmarkStart w:id="13" w:name="sub_13"/>
      <w:r>
        <w:t>4. Рассмотрение вопроса о признании исполненной обязанности по уплате обязательных платежей в бюджетную систему Российской Федерации налогоплательщика, состоящего на учете в Межрегиональной инспекции ФНС России по крупнейшим налогоплательщикам (да</w:t>
      </w:r>
      <w:r>
        <w:t>лее - МИ ФНС России по КН), производится комиссией МИ ФНС России по КН самостоятельно (по администрируемым налогам).</w:t>
      </w:r>
    </w:p>
    <w:bookmarkEnd w:id="13"/>
    <w:p w:rsidR="00000000" w:rsidRDefault="0044048F">
      <w:r>
        <w:t>В случае</w:t>
      </w:r>
      <w:proofErr w:type="gramStart"/>
      <w:r>
        <w:t>,</w:t>
      </w:r>
      <w:proofErr w:type="gramEnd"/>
      <w:r>
        <w:t xml:space="preserve"> если налогоплательщик, состоящий на учете в МИ ФНС России по КН, одновременно осуществлял уплату обязательных платежей по а</w:t>
      </w:r>
      <w:r>
        <w:t>дминистрируемым и не администрируемым МИ ФНС России по КН налогам (сборам) с одного расчетного счета, рассмотрение вопроса о признании исполненной обязанности по уплате обязательных платежей в бюджетную систему Российской Федерации налогоплательщика произв</w:t>
      </w:r>
      <w:r>
        <w:t>одится коллегиально комиссиями МИ ФНС России по КН и соответствующего Управления, в том числе путем использования систем видеоконференц-связи.</w:t>
      </w:r>
    </w:p>
    <w:p w:rsidR="00000000" w:rsidRDefault="0044048F">
      <w:bookmarkStart w:id="14" w:name="sub_14"/>
      <w:r>
        <w:t xml:space="preserve">5. Отражение сумм, не перечисленных банком, в </w:t>
      </w:r>
      <w:r>
        <w:rPr>
          <w:rStyle w:val="a4"/>
        </w:rPr>
        <w:t>Журнале</w:t>
      </w:r>
      <w:r>
        <w:t xml:space="preserve"> учета осуществляется территор</w:t>
      </w:r>
      <w:r>
        <w:t xml:space="preserve">иальным налоговым </w:t>
      </w:r>
      <w:proofErr w:type="gramStart"/>
      <w:r>
        <w:t>органом</w:t>
      </w:r>
      <w:proofErr w:type="gramEnd"/>
      <w:r>
        <w:t xml:space="preserve"> на основании решения созданной в Управлении или в территориальном налоговом органе комиссии, а также на основании решения (постановления, определения) Верховного Суда Российской Федерации, суда общей юрисдикции, арбитражного суда </w:t>
      </w:r>
      <w:r>
        <w:t>или мирового судьи (далее - суд), вступившего в законную силу, и содержащих положения о признании исполненной обязанности налогоплательщика по уплате данных сумм обязательных платежей.</w:t>
      </w:r>
    </w:p>
    <w:bookmarkEnd w:id="14"/>
    <w:p w:rsidR="00000000" w:rsidRDefault="0044048F">
      <w:r>
        <w:t>Отражение сумм, не перечисленных банком, в Журнале учета осуществ</w:t>
      </w:r>
      <w:r>
        <w:t xml:space="preserve">ляется МИ ФНС России по КН на основании решения комиссии, созданной в этой инспекции, а также на основании решения (постановления, определения) суда, вступившего в законную силу, и содержащих положения о признании исполненной обязанности налогоплательщика </w:t>
      </w:r>
      <w:r>
        <w:t>по уплате данных сумм обязательных платежей.</w:t>
      </w:r>
    </w:p>
    <w:p w:rsidR="00000000" w:rsidRDefault="0044048F">
      <w:bookmarkStart w:id="15" w:name="sub_15"/>
      <w:r>
        <w:t>6. </w:t>
      </w:r>
      <w:proofErr w:type="gramStart"/>
      <w:r>
        <w:t>По каждому факту получения информации о суммах, не перечисленных банком, территориальный налоговый орган проводит комплекс мероприятий, направленных на выявление и пресечение нарушений, связанных с испо</w:t>
      </w:r>
      <w:r>
        <w:t>лнением банками (филиалами) платежных поручений налогоплательщиков на перечисление обязательных платежей в бюджетную систему Российской Федерации, а также выявление и систематизацию признаков недобросовестности налогоплательщиков при осуществлении ими упла</w:t>
      </w:r>
      <w:r>
        <w:t>ты налогов (сборов).</w:t>
      </w:r>
      <w:proofErr w:type="gramEnd"/>
    </w:p>
    <w:p w:rsidR="00000000" w:rsidRDefault="0044048F">
      <w:bookmarkStart w:id="16" w:name="sub_16"/>
      <w:bookmarkEnd w:id="15"/>
      <w:r>
        <w:t xml:space="preserve">7. До рассмотрения вопроса о признании исполненной обязанности налогоплательщика по уплате обязательных платежей и об отражении в </w:t>
      </w:r>
      <w:r>
        <w:rPr>
          <w:rStyle w:val="a4"/>
        </w:rPr>
        <w:t>Журнале</w:t>
      </w:r>
      <w:r>
        <w:t xml:space="preserve"> учета сумм, не перечисленных банком, территориальным налоговы</w:t>
      </w:r>
      <w:r>
        <w:t>м органом составляется пояснительная записка о проведенных им контрольных мероприятиях с приложением следующих документов:</w:t>
      </w:r>
    </w:p>
    <w:bookmarkEnd w:id="16"/>
    <w:p w:rsidR="00000000" w:rsidRDefault="0044048F">
      <w:r>
        <w:t>платежного поручения налогоплательщика с отметками банка о принятии его к исполнению, содержащего в поле "Поступ. в банк плат</w:t>
      </w:r>
      <w:proofErr w:type="gramStart"/>
      <w:r>
        <w:t>."</w:t>
      </w:r>
      <w:r>
        <w:t xml:space="preserve"> (</w:t>
      </w:r>
      <w:proofErr w:type="gramEnd"/>
      <w:r>
        <w:rPr>
          <w:rStyle w:val="a4"/>
        </w:rPr>
        <w:t>поле 62</w:t>
      </w:r>
      <w:r>
        <w:t>) проставленную ответственным исполнителем банка дату поступления в банк; в поле "Отметки банка" (</w:t>
      </w:r>
      <w:r>
        <w:rPr>
          <w:rStyle w:val="a4"/>
        </w:rPr>
        <w:t>поле 45</w:t>
      </w:r>
      <w:r>
        <w:t>) - штамп банка, дату приема и подпись ответственного исполнител</w:t>
      </w:r>
      <w:r>
        <w:t xml:space="preserve">я, и оформленного в соответствии с требованиями </w:t>
      </w:r>
      <w:r>
        <w:rPr>
          <w:rStyle w:val="a4"/>
        </w:rPr>
        <w:t>приказа</w:t>
      </w:r>
      <w:r>
        <w:t xml:space="preserve"> Министерства финансов Российской Федерации от 12.11.2013 N 107н "Об утверждении Правил указания </w:t>
      </w:r>
      <w:r>
        <w:lastRenderedPageBreak/>
        <w:t>информации в реквизитах распоряжений о переводе денежных средств в у</w:t>
      </w:r>
      <w:r>
        <w:t>плату платежей в бюджетную систему Российской Федерации";</w:t>
      </w:r>
    </w:p>
    <w:p w:rsidR="00000000" w:rsidRDefault="0044048F">
      <w:r>
        <w:t>решения (постановления, определения) арбитражного суда или суда общей юрисдикции, вступившего в законную силу, и содержащего в мотивировочной или резолютивной части положения о признании исполненной</w:t>
      </w:r>
      <w:r>
        <w:t xml:space="preserve"> обязанности налогоплательщика по уплате данных сумм обязательных платежей;</w:t>
      </w:r>
    </w:p>
    <w:p w:rsidR="00000000" w:rsidRDefault="0044048F">
      <w:r>
        <w:t>документов банка, подтверждающих наличие достаточного денежного остатка на счете налогоплательщика для уплаты соответствующего налога в бюджетную систему Российской Федерации, исто</w:t>
      </w:r>
      <w:r>
        <w:t>чники поступления денежных средств на счет и корреспонденцию счетов в случае списания данного денежного остатка со счета налогоплательщика (выписки банка и др.);</w:t>
      </w:r>
    </w:p>
    <w:p w:rsidR="00000000" w:rsidRDefault="0044048F">
      <w:r>
        <w:t xml:space="preserve">справки о наличии открытых счетов налогоплательщика на дату предъявления платежного поручения </w:t>
      </w:r>
      <w:r>
        <w:t>в банк;</w:t>
      </w:r>
    </w:p>
    <w:p w:rsidR="00000000" w:rsidRDefault="0044048F">
      <w:r>
        <w:t>выписки о движении денежных средств по расчетным счетам налогоплательщика, открытым в других банках, за период расчетов по обязательным платежам через банк, не исполнивший обязанность по перечислению обязательных платежей налогоплательщика (в целях</w:t>
      </w:r>
      <w:r>
        <w:t xml:space="preserve"> установления достаточных денежных сре</w:t>
      </w:r>
      <w:proofErr w:type="gramStart"/>
      <w:r>
        <w:t>дств дл</w:t>
      </w:r>
      <w:proofErr w:type="gramEnd"/>
      <w:r>
        <w:t>я исполнения обязанности по уплате налогов (сборов));</w:t>
      </w:r>
    </w:p>
    <w:p w:rsidR="00000000" w:rsidRDefault="0044048F">
      <w:r>
        <w:t>карточки "Расчеты с бюджетом" и заключения о наличии обязанности по уплате авансовых платежей и/или налога (сбора) в соответствии с представленной налогоплат</w:t>
      </w:r>
      <w:r>
        <w:t>ельщиком налоговой декларацией (расчетом) за соответствующие периоды;</w:t>
      </w:r>
    </w:p>
    <w:p w:rsidR="00000000" w:rsidRDefault="0044048F">
      <w:r>
        <w:t xml:space="preserve">выписки по балансовому счету </w:t>
      </w:r>
      <w:r>
        <w:rPr>
          <w:rStyle w:val="a4"/>
        </w:rPr>
        <w:t>N 47418</w:t>
      </w:r>
      <w:r>
        <w:t xml:space="preserve"> "Средства, списанные со счетов клиентов, но не проведенные по корреспондентскому счету кредитной организации</w:t>
      </w:r>
      <w:r>
        <w:t xml:space="preserve"> из-за недостаточности денежных средств" и иным счетам банка, аккумулирующим средства клиентов банка, списанные со счетов, но не проведенные по корреспондентскому счету;</w:t>
      </w:r>
    </w:p>
    <w:p w:rsidR="00000000" w:rsidRDefault="0044048F">
      <w:r>
        <w:t>иные материалы.</w:t>
      </w:r>
    </w:p>
    <w:p w:rsidR="00000000" w:rsidRDefault="0044048F">
      <w:r>
        <w:t>По результатам проведенного заседания комиссии Управления, территориал</w:t>
      </w:r>
      <w:r>
        <w:t xml:space="preserve">ьного налогового органа или МИ ФНС России по КН по рассмотрению вопроса о признании исполненной обязанности налогоплательщика по уплате обязательных платежей </w:t>
      </w:r>
      <w:proofErr w:type="gramStart"/>
      <w:r>
        <w:t>составляется протокол и комиссией принимаются</w:t>
      </w:r>
      <w:proofErr w:type="gramEnd"/>
      <w:r>
        <w:t xml:space="preserve"> решения:</w:t>
      </w:r>
    </w:p>
    <w:p w:rsidR="00000000" w:rsidRDefault="0044048F">
      <w:r>
        <w:t>о признании обязанности налогоплательщика и</w:t>
      </w:r>
      <w:r>
        <w:t>сполненной и отражении в Журнале учета сумм, не перечисленных банком;</w:t>
      </w:r>
    </w:p>
    <w:p w:rsidR="00000000" w:rsidRDefault="0044048F">
      <w:r>
        <w:t>об отказе в признании обязанности налогоплательщика исполненной и об отказе в отражении в Журнале учета сумм, не перечисленных банком.</w:t>
      </w:r>
    </w:p>
    <w:p w:rsidR="00000000" w:rsidRDefault="0044048F">
      <w:r>
        <w:t>В случае проведения коллегиального заседания комисс</w:t>
      </w:r>
      <w:r>
        <w:t xml:space="preserve">ий МИ ФНС России по КН и Управления по рассмотрению вопроса о признании исполненной обязанности налогоплательщика по уплате обязательных платежей составляется единый </w:t>
      </w:r>
      <w:proofErr w:type="gramStart"/>
      <w:r>
        <w:t>протокол</w:t>
      </w:r>
      <w:proofErr w:type="gramEnd"/>
      <w:r>
        <w:t xml:space="preserve"> и комиссии принимают решения в части администрируемых налогов (сборов).</w:t>
      </w:r>
    </w:p>
    <w:p w:rsidR="00000000" w:rsidRDefault="0044048F">
      <w:bookmarkStart w:id="17" w:name="sub_17"/>
      <w:r>
        <w:t>8. </w:t>
      </w:r>
      <w:r>
        <w:t xml:space="preserve">На основании решения комиссии Управления, территориального налогового органа, МИ ФНС России по КН, а также решений (постановлений, определений) судов о признании обязанности </w:t>
      </w:r>
      <w:proofErr w:type="gramStart"/>
      <w:r>
        <w:t>налогоплательщика</w:t>
      </w:r>
      <w:proofErr w:type="gramEnd"/>
      <w:r>
        <w:t xml:space="preserve"> по уплате налога исполненной, зафиксированных в </w:t>
      </w:r>
      <w:r>
        <w:rPr>
          <w:rStyle w:val="a4"/>
        </w:rPr>
        <w:t>Журнале</w:t>
      </w:r>
      <w:r>
        <w:t xml:space="preserve"> учета, в карточке "Расчеты с бюджетом" налогоплательщика в автоматизированном режиме отражаются суммы, не перечисленные банком, и дата их списания с расчетного счета налогоплательщика.</w:t>
      </w:r>
    </w:p>
    <w:bookmarkEnd w:id="17"/>
    <w:p w:rsidR="00000000" w:rsidRDefault="0044048F">
      <w:proofErr w:type="gramStart"/>
      <w:r>
        <w:t xml:space="preserve">В случае невозможности взыскания соответствующих </w:t>
      </w:r>
      <w:r>
        <w:t xml:space="preserve">сумм с банка в связи с отзывом лицензии или началом процедуры банкротства, территориальным налоговым органам необходимо предпринять действия по включению указанной задолженности в реестр требований кредиторов путем предъявления требований временной </w:t>
      </w:r>
      <w:r>
        <w:lastRenderedPageBreak/>
        <w:t>админис</w:t>
      </w:r>
      <w:r>
        <w:t xml:space="preserve">трации или конкурсному управляющему кредитной организации в порядке, установленном </w:t>
      </w:r>
      <w:r>
        <w:rPr>
          <w:rStyle w:val="a4"/>
        </w:rPr>
        <w:t>федеральным законом</w:t>
      </w:r>
      <w:r>
        <w:t xml:space="preserve"> от 25.02.1999 N 40-ФЗ "О несостоятельности (банкротстве) кредитных организаций" (в действующей редакции).</w:t>
      </w:r>
      <w:proofErr w:type="gramEnd"/>
    </w:p>
    <w:p w:rsidR="00000000" w:rsidRDefault="0044048F">
      <w:bookmarkStart w:id="18" w:name="sub_26"/>
      <w:r>
        <w:t>9. За</w:t>
      </w:r>
      <w:r>
        <w:t xml:space="preserve">пись в </w:t>
      </w:r>
      <w:r>
        <w:rPr>
          <w:rStyle w:val="a4"/>
        </w:rPr>
        <w:t>Журнале</w:t>
      </w:r>
      <w:r>
        <w:t xml:space="preserve"> учета об отражении сумм, не перечисленных банком, подлежит исключению из Журнала учета (путем переноса записи из действующей части Журнала учета в архивную часть) в следующих случаях:</w:t>
      </w:r>
    </w:p>
    <w:p w:rsidR="00000000" w:rsidRDefault="0044048F">
      <w:bookmarkStart w:id="19" w:name="sub_18"/>
      <w:bookmarkEnd w:id="18"/>
      <w:proofErr w:type="gramStart"/>
      <w:r>
        <w:t>а) при пересмотре решения (постановления, определения) суда, на основании которого в Журнале учета была отражена сумма, не перечисленная банком, и принятии решения (постановления, определения) суда, вступившего в законную силу, о непризнании (отказе в приз</w:t>
      </w:r>
      <w:r>
        <w:t>нании) обязанности налогоплательщика исполненной;</w:t>
      </w:r>
      <w:proofErr w:type="gramEnd"/>
    </w:p>
    <w:p w:rsidR="00000000" w:rsidRDefault="0044048F">
      <w:bookmarkStart w:id="20" w:name="sub_19"/>
      <w:bookmarkEnd w:id="19"/>
      <w:r>
        <w:t>б) при отмене решения (постановления, определения) суда, на основании которого в Журнале учета была отражена сумма, не перечисленная банком, и направлении дела на новое рассмотрение;</w:t>
      </w:r>
    </w:p>
    <w:p w:rsidR="00000000" w:rsidRDefault="0044048F">
      <w:bookmarkStart w:id="21" w:name="sub_20"/>
      <w:bookmarkEnd w:id="20"/>
      <w:r>
        <w:t>в) при погашении всей суммы, не перечисленной банком, в результате возобновления деятельности банка, а также в ходе конкурсного производства или по условиям мирового соглашения;</w:t>
      </w:r>
    </w:p>
    <w:p w:rsidR="00000000" w:rsidRDefault="0044048F">
      <w:bookmarkStart w:id="22" w:name="sub_21"/>
      <w:bookmarkEnd w:id="21"/>
      <w:r>
        <w:t>г) при передаче налогоплательщика на учет в налоговый орган по но</w:t>
      </w:r>
      <w:r>
        <w:t>вому месту нахождения (в налоговом органе по предыдущему месту нахождения);</w:t>
      </w:r>
    </w:p>
    <w:p w:rsidR="00000000" w:rsidRDefault="0044048F">
      <w:bookmarkStart w:id="23" w:name="sub_22"/>
      <w:bookmarkEnd w:id="22"/>
      <w:r>
        <w:t>д) при ликвидации налогоплательщика и банка;</w:t>
      </w:r>
    </w:p>
    <w:p w:rsidR="00000000" w:rsidRDefault="0044048F">
      <w:bookmarkStart w:id="24" w:name="sub_23"/>
      <w:bookmarkEnd w:id="23"/>
      <w:r>
        <w:t xml:space="preserve">е) при признании </w:t>
      </w:r>
      <w:proofErr w:type="gramStart"/>
      <w:r>
        <w:t>безнадежными</w:t>
      </w:r>
      <w:proofErr w:type="gramEnd"/>
      <w:r>
        <w:t xml:space="preserve"> к взысканию сумм налогов, сборов, пеней и штрафов и их списании, если на момент п</w:t>
      </w:r>
      <w:r>
        <w:t>ринятия решения о списании указанных сумм соответствующие банки ликвидированы;</w:t>
      </w:r>
    </w:p>
    <w:p w:rsidR="00000000" w:rsidRDefault="0044048F">
      <w:bookmarkStart w:id="25" w:name="sub_24"/>
      <w:bookmarkEnd w:id="24"/>
      <w:r>
        <w:t>ж) смерти налогоплательщика;</w:t>
      </w:r>
    </w:p>
    <w:p w:rsidR="00000000" w:rsidRDefault="0044048F">
      <w:bookmarkStart w:id="26" w:name="sub_25"/>
      <w:bookmarkEnd w:id="25"/>
      <w:r>
        <w:t>з) при отмене решения налогового органа, на основании которого в Журнале учета была отражена сумма, не перечисленная банком,</w:t>
      </w:r>
      <w:r>
        <w:t xml:space="preserve"> вышестоящим налоговым органом или судом.</w:t>
      </w:r>
    </w:p>
    <w:p w:rsidR="00000000" w:rsidRDefault="0044048F">
      <w:bookmarkStart w:id="27" w:name="sub_32"/>
      <w:bookmarkEnd w:id="26"/>
      <w:r>
        <w:t xml:space="preserve">10. Для рассмотрения вопроса об исключении из </w:t>
      </w:r>
      <w:r>
        <w:rPr>
          <w:rStyle w:val="a4"/>
        </w:rPr>
        <w:t>Журнала</w:t>
      </w:r>
      <w:r>
        <w:t xml:space="preserve"> учета сумм, не перечисленных банком, комиссии налогового органа необходимо использовать следующие документы (их копии):</w:t>
      </w:r>
    </w:p>
    <w:p w:rsidR="00000000" w:rsidRDefault="0044048F">
      <w:bookmarkStart w:id="28" w:name="sub_27"/>
      <w:bookmarkEnd w:id="27"/>
      <w:r>
        <w:t>а) решение (постановление, определение) суда, вступившее в законную силу, об отказе в признании обязанности налогоплательщика исполненной;</w:t>
      </w:r>
    </w:p>
    <w:p w:rsidR="00000000" w:rsidRDefault="0044048F">
      <w:bookmarkStart w:id="29" w:name="sub_28"/>
      <w:bookmarkEnd w:id="28"/>
      <w:r>
        <w:t>б) решение (постановление, определение) суда об отмене решения (постановления, определения) суда,</w:t>
      </w:r>
      <w:r>
        <w:t xml:space="preserve"> вступившего в законную силу и содержащего в мотивировочной или резолютивной части положение о признании исполненной обязанности налогоплательщика, и направлении дела на новое рассмотрение;</w:t>
      </w:r>
    </w:p>
    <w:p w:rsidR="00000000" w:rsidRDefault="0044048F">
      <w:bookmarkStart w:id="30" w:name="sub_29"/>
      <w:bookmarkEnd w:id="29"/>
      <w:r>
        <w:t>в) подтверждающие погашение задолженности банка по пла</w:t>
      </w:r>
      <w:r>
        <w:t>тежному поручению налогоплательщика по суммам, не перечисленным банком, в результате возобновления деятельности банка, а также в ходе конкурсного производства банка или по условиям мирового соглашения банка с конкурсными кредиторами;</w:t>
      </w:r>
    </w:p>
    <w:p w:rsidR="00000000" w:rsidRDefault="0044048F">
      <w:bookmarkStart w:id="31" w:name="sub_30"/>
      <w:bookmarkEnd w:id="30"/>
      <w:proofErr w:type="gramStart"/>
      <w:r>
        <w:t>г) свидете</w:t>
      </w:r>
      <w:r>
        <w:t>льство о смерти физического лица или судебное решение об объявлении физического лица умершим;</w:t>
      </w:r>
      <w:proofErr w:type="gramEnd"/>
    </w:p>
    <w:p w:rsidR="00000000" w:rsidRDefault="0044048F">
      <w:bookmarkStart w:id="32" w:name="sub_31"/>
      <w:bookmarkEnd w:id="31"/>
      <w:r>
        <w:t>д) решение вышестоящего налогового органа или решение (постановление, определение) суда, отменяющее решение налогового органа, на основании которого в</w:t>
      </w:r>
      <w:r>
        <w:t xml:space="preserve"> Журнале учета была отражена сумма, не перечисленная банком.</w:t>
      </w:r>
    </w:p>
    <w:p w:rsidR="00000000" w:rsidRDefault="0044048F">
      <w:bookmarkStart w:id="33" w:name="sub_33"/>
      <w:bookmarkEnd w:id="32"/>
      <w:r>
        <w:t xml:space="preserve">11. По результатам рассмотрения представленных документов комиссия налогового органа в 5-дневный срок выносит решение об исключении из </w:t>
      </w:r>
      <w:r>
        <w:rPr>
          <w:rStyle w:val="a4"/>
        </w:rPr>
        <w:t>Журнала</w:t>
      </w:r>
      <w:r>
        <w:t xml:space="preserve"> учета сумм, не п</w:t>
      </w:r>
      <w:r>
        <w:t>еречисленных банком.</w:t>
      </w:r>
    </w:p>
    <w:p w:rsidR="00000000" w:rsidRDefault="0044048F">
      <w:bookmarkStart w:id="34" w:name="sub_34"/>
      <w:bookmarkEnd w:id="33"/>
      <w:r>
        <w:t xml:space="preserve">12. Исключение из </w:t>
      </w:r>
      <w:r>
        <w:rPr>
          <w:rStyle w:val="a4"/>
        </w:rPr>
        <w:t>Журнала</w:t>
      </w:r>
      <w:r>
        <w:t xml:space="preserve"> учета сумм, не перечисленных банком, налогоплательщика, состоящего на учете в межрегиональной инспекции ФНС России по крупнейшим налогоплательщикам, производится МИ ФНС Росс</w:t>
      </w:r>
      <w:r>
        <w:t xml:space="preserve">ии по КН </w:t>
      </w:r>
      <w:r>
        <w:lastRenderedPageBreak/>
        <w:t>самостоятельно (по администрируемым налогам).</w:t>
      </w:r>
    </w:p>
    <w:p w:rsidR="00000000" w:rsidRDefault="0044048F">
      <w:bookmarkStart w:id="35" w:name="sub_35"/>
      <w:bookmarkEnd w:id="34"/>
      <w:r>
        <w:t xml:space="preserve">13. Исключение из </w:t>
      </w:r>
      <w:r>
        <w:rPr>
          <w:rStyle w:val="a4"/>
        </w:rPr>
        <w:t>Журнала</w:t>
      </w:r>
      <w:r>
        <w:t xml:space="preserve"> учета сумм, не перечисленных банком, производится территориальным налоговым органом (кроме МИ ФНС России по КН) в соответствии с процедурой</w:t>
      </w:r>
      <w:r>
        <w:t>, установленной Управлением.</w:t>
      </w:r>
    </w:p>
    <w:p w:rsidR="00000000" w:rsidRDefault="0044048F">
      <w:bookmarkStart w:id="36" w:name="sub_36"/>
      <w:bookmarkEnd w:id="35"/>
      <w:r>
        <w:t xml:space="preserve">14. Территориальный налоговый орган исключает из </w:t>
      </w:r>
      <w:r>
        <w:rPr>
          <w:rStyle w:val="a4"/>
        </w:rPr>
        <w:t>Журнала</w:t>
      </w:r>
      <w:r>
        <w:t xml:space="preserve"> учета суммы, не перечисленные банком, в течение трех дней </w:t>
      </w:r>
      <w:proofErr w:type="gramStart"/>
      <w:r>
        <w:t>с даты принятия</w:t>
      </w:r>
      <w:proofErr w:type="gramEnd"/>
      <w:r>
        <w:t xml:space="preserve"> решения комиссией Управления, в течение одного дня - если ре</w:t>
      </w:r>
      <w:r>
        <w:t>шение принято комиссией территориального налогового органа.</w:t>
      </w:r>
    </w:p>
    <w:bookmarkEnd w:id="36"/>
    <w:p w:rsidR="00000000" w:rsidRDefault="0044048F">
      <w:r>
        <w:t xml:space="preserve">МИ ФНС России по КН исключает из Журнала учета суммы, не перечисленные банком, в течение одного дня </w:t>
      </w:r>
      <w:proofErr w:type="gramStart"/>
      <w:r>
        <w:t>с даты принятия</w:t>
      </w:r>
      <w:proofErr w:type="gramEnd"/>
      <w:r>
        <w:t xml:space="preserve"> решения комиссией МИ ФНС России по КН.</w:t>
      </w:r>
    </w:p>
    <w:p w:rsidR="00000000" w:rsidRDefault="0044048F">
      <w:bookmarkStart w:id="37" w:name="sub_37"/>
      <w:r>
        <w:t xml:space="preserve">15. Руководителям Управлений </w:t>
      </w:r>
      <w:r>
        <w:t xml:space="preserve">надлежит обеспечить контроль за обоснованностью признания территориальными налоговыми органами (кроме МИ ФНС России по КН) исполненной обязанности налогоплательщика, их отражения и исключения </w:t>
      </w:r>
      <w:proofErr w:type="gramStart"/>
      <w:r>
        <w:t>из</w:t>
      </w:r>
      <w:proofErr w:type="gramEnd"/>
      <w:r>
        <w:t xml:space="preserve"> </w:t>
      </w:r>
      <w:proofErr w:type="gramStart"/>
      <w:r>
        <w:rPr>
          <w:rStyle w:val="a4"/>
        </w:rPr>
        <w:t>Журнале</w:t>
      </w:r>
      <w:proofErr w:type="gramEnd"/>
      <w:r>
        <w:t xml:space="preserve"> учета сумм, не перечисленных </w:t>
      </w:r>
      <w:r>
        <w:t>банком.</w:t>
      </w:r>
    </w:p>
    <w:bookmarkEnd w:id="37"/>
    <w:p w:rsidR="00000000" w:rsidRDefault="0044048F"/>
    <w:p w:rsidR="00000000" w:rsidRDefault="0044048F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44048F">
      <w:pPr>
        <w:ind w:firstLine="698"/>
        <w:jc w:val="right"/>
      </w:pPr>
      <w:bookmarkStart w:id="38" w:name="sub_74"/>
      <w:r>
        <w:rPr>
          <w:rStyle w:val="a3"/>
        </w:rPr>
        <w:lastRenderedPageBreak/>
        <w:t>Приложение N 2</w:t>
      </w:r>
    </w:p>
    <w:bookmarkEnd w:id="38"/>
    <w:p w:rsidR="00000000" w:rsidRDefault="0044048F"/>
    <w:p w:rsidR="00000000" w:rsidRDefault="0044048F">
      <w:pPr>
        <w:pStyle w:val="1"/>
      </w:pPr>
      <w:r>
        <w:t>Журнал</w:t>
      </w:r>
      <w:r>
        <w:br/>
        <w:t>учета сумм обязательных платежей налогоплательщиков, не перечисленных банками в бюджетную систему Российской Федерации</w:t>
      </w:r>
      <w:r>
        <w:br/>
        <w:t xml:space="preserve">(утв. </w:t>
      </w:r>
      <w:r>
        <w:rPr>
          <w:rStyle w:val="a4"/>
        </w:rPr>
        <w:t>приказом</w:t>
      </w:r>
      <w:r>
        <w:t xml:space="preserve"> Федеральной налоговой службы</w:t>
      </w:r>
      <w:r>
        <w:t xml:space="preserve"> от 5 декабря 2014 г. N ММВ-7-8/613@)</w:t>
      </w:r>
    </w:p>
    <w:p w:rsidR="00000000" w:rsidRDefault="0044048F"/>
    <w:p w:rsidR="00000000" w:rsidRDefault="0044048F">
      <w:pPr>
        <w:pStyle w:val="1"/>
      </w:pPr>
      <w:bookmarkStart w:id="39" w:name="sub_39"/>
      <w:r>
        <w:t>Часть 1.</w:t>
      </w:r>
      <w:r>
        <w:br/>
        <w:t xml:space="preserve">Сведения о платежных поручениях и о налогоплательщиках </w:t>
      </w:r>
    </w:p>
    <w:bookmarkEnd w:id="39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1680"/>
        <w:gridCol w:w="1260"/>
        <w:gridCol w:w="1260"/>
        <w:gridCol w:w="1960"/>
        <w:gridCol w:w="1820"/>
        <w:gridCol w:w="322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81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1. Платежное поручение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2. Налогоплательщик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40" w:name="sub_77"/>
            <w:r w:rsidRPr="0044048F">
              <w:rPr>
                <w:rFonts w:eastAsiaTheme="minorEastAsia"/>
              </w:rPr>
              <w:t>1</w:t>
            </w:r>
            <w:bookmarkEnd w:id="4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8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платежного поручения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платежного поручения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 пл</w:t>
            </w:r>
            <w:r w:rsidRPr="0044048F">
              <w:rPr>
                <w:rFonts w:eastAsiaTheme="minorEastAsia"/>
              </w:rPr>
              <w:t>атежного поручения,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наименование/</w:t>
            </w:r>
          </w:p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 xml:space="preserve">ФИО </w:t>
            </w:r>
            <w:r w:rsidRPr="0044048F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44048F">
              <w:rPr>
                <w:rFonts w:eastAsiaTheme="minorEastAsia"/>
              </w:rPr>
              <w:t xml:space="preserve"> налогоплательщика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ИНН/КПП налогоплательщика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сведения о налогоплательщике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/>
    <w:p w:rsidR="00000000" w:rsidRDefault="0044048F">
      <w:r>
        <w:t>_____________________________</w:t>
      </w:r>
    </w:p>
    <w:p w:rsidR="00000000" w:rsidRDefault="0044048F">
      <w:bookmarkStart w:id="41" w:name="sub_76"/>
      <w:r>
        <w:t>* отчество указывается при наличии</w:t>
      </w:r>
    </w:p>
    <w:bookmarkEnd w:id="41"/>
    <w:p w:rsidR="00000000" w:rsidRDefault="0044048F"/>
    <w:p w:rsidR="00000000" w:rsidRDefault="0044048F">
      <w:pPr>
        <w:pStyle w:val="1"/>
      </w:pPr>
      <w:bookmarkStart w:id="42" w:name="sub_40"/>
      <w:r>
        <w:t>Часть 2.</w:t>
      </w:r>
      <w:r>
        <w:br/>
        <w:t xml:space="preserve">Сведения о кредитных организациях и расчетных счетах налогоплательщиков </w:t>
      </w:r>
    </w:p>
    <w:bookmarkEnd w:id="42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400"/>
        <w:gridCol w:w="1120"/>
        <w:gridCol w:w="1540"/>
        <w:gridCol w:w="1540"/>
        <w:gridCol w:w="1680"/>
        <w:gridCol w:w="1120"/>
        <w:gridCol w:w="1120"/>
        <w:gridCol w:w="1540"/>
        <w:gridCol w:w="1400"/>
        <w:gridCol w:w="182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81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3. Банк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4. Расчетный счет налогоплательщика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43" w:name="sub_78"/>
            <w:r w:rsidRPr="0044048F">
              <w:rPr>
                <w:rFonts w:eastAsiaTheme="minorEastAsia"/>
              </w:rPr>
              <w:t>9</w:t>
            </w:r>
            <w:bookmarkEnd w:id="4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19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БИК</w:t>
            </w:r>
            <w:r w:rsidRPr="0044048F">
              <w:rPr>
                <w:rFonts w:eastAsiaTheme="minorEastAsia"/>
              </w:rPr>
              <w:t xml:space="preserve"> банка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наименование банка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 xml:space="preserve">сведения о банке (статус </w:t>
            </w:r>
            <w:r w:rsidRPr="0044048F">
              <w:rPr>
                <w:rFonts w:eastAsiaTheme="minorEastAsia"/>
              </w:rPr>
              <w:lastRenderedPageBreak/>
              <w:t>банка)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 xml:space="preserve">документ, подтверждающий статус </w:t>
            </w:r>
            <w:r w:rsidRPr="0044048F">
              <w:rPr>
                <w:rFonts w:eastAsiaTheme="minorEastAsia"/>
              </w:rPr>
              <w:lastRenderedPageBreak/>
              <w:t>банка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 xml:space="preserve">дата документа, подтверждающего </w:t>
            </w:r>
            <w:r w:rsidRPr="0044048F">
              <w:rPr>
                <w:rFonts w:eastAsiaTheme="minorEastAsia"/>
              </w:rPr>
              <w:lastRenderedPageBreak/>
              <w:t>статус банка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 xml:space="preserve">N документа, подтверждающего </w:t>
            </w:r>
            <w:r w:rsidRPr="0044048F">
              <w:rPr>
                <w:rFonts w:eastAsiaTheme="minorEastAsia"/>
              </w:rPr>
              <w:lastRenderedPageBreak/>
              <w:t>статус банка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>дата открытия расчетн</w:t>
            </w:r>
            <w:r w:rsidRPr="0044048F">
              <w:rPr>
                <w:rFonts w:eastAsiaTheme="minorEastAsia"/>
              </w:rPr>
              <w:lastRenderedPageBreak/>
              <w:t>ого счета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>N расчетного счета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 xml:space="preserve">источник поступления средств на </w:t>
            </w:r>
            <w:r w:rsidRPr="0044048F">
              <w:rPr>
                <w:rFonts w:eastAsiaTheme="minorEastAsia"/>
              </w:rPr>
              <w:lastRenderedPageBreak/>
              <w:t>расчетный счет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 xml:space="preserve">дата принятия платежного </w:t>
            </w:r>
            <w:r w:rsidRPr="0044048F">
              <w:rPr>
                <w:rFonts w:eastAsiaTheme="minorEastAsia"/>
              </w:rPr>
              <w:lastRenderedPageBreak/>
              <w:t>поручения банком к исполнению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>дата списания сре</w:t>
            </w:r>
            <w:proofErr w:type="gramStart"/>
            <w:r w:rsidRPr="0044048F">
              <w:rPr>
                <w:rFonts w:eastAsiaTheme="minorEastAsia"/>
              </w:rPr>
              <w:t>дств с р</w:t>
            </w:r>
            <w:proofErr w:type="gramEnd"/>
            <w:r w:rsidRPr="0044048F">
              <w:rPr>
                <w:rFonts w:eastAsiaTheme="minorEastAsia"/>
              </w:rPr>
              <w:t xml:space="preserve">асчетного </w:t>
            </w:r>
            <w:r w:rsidRPr="0044048F">
              <w:rPr>
                <w:rFonts w:eastAsiaTheme="minorEastAsia"/>
              </w:rPr>
              <w:lastRenderedPageBreak/>
              <w:t>счета /поступления наличных денежных средств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/>
    <w:p w:rsidR="00000000" w:rsidRDefault="0044048F">
      <w:pPr>
        <w:pStyle w:val="1"/>
      </w:pPr>
      <w:bookmarkStart w:id="44" w:name="sub_41"/>
      <w:r>
        <w:t>Часть 3.</w:t>
      </w:r>
      <w:r>
        <w:br/>
        <w:t>Сведения о решениях, принятых налоговыми органами, а также вступивших в законную силу решениях судов</w:t>
      </w:r>
    </w:p>
    <w:bookmarkEnd w:id="44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800"/>
        <w:gridCol w:w="2100"/>
        <w:gridCol w:w="1680"/>
        <w:gridCol w:w="1680"/>
        <w:gridCol w:w="1820"/>
        <w:gridCol w:w="238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5. Решение комиссии налогового органа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6. Решение суда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45" w:name="sub_79"/>
            <w:r w:rsidRPr="0044048F">
              <w:rPr>
                <w:rFonts w:eastAsiaTheme="minorEastAsia"/>
              </w:rPr>
              <w:t>20</w:t>
            </w:r>
            <w:bookmarkEnd w:id="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26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протокола заседания комиссии налогового органа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протокола заседания комиссии налогового органа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решение комиссии налогового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наименование суда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решения суда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дела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содержание решения суда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/>
    <w:p w:rsidR="00000000" w:rsidRDefault="0044048F">
      <w:pPr>
        <w:pStyle w:val="1"/>
      </w:pPr>
      <w:bookmarkStart w:id="46" w:name="sub_42"/>
      <w:r>
        <w:t>Часть 4.</w:t>
      </w:r>
      <w:r>
        <w:br/>
      </w:r>
      <w:r>
        <w:t xml:space="preserve">Сведения о проведенных налоговыми органами мероприятиях, направленных на снижение сумм, не перечисленных банками </w:t>
      </w:r>
    </w:p>
    <w:bookmarkEnd w:id="46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3780"/>
        <w:gridCol w:w="3780"/>
        <w:gridCol w:w="378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7. Передано материалов в органы внутренних дел/следственные органы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8. Предъявлено требований в конкурсное производство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47" w:name="sub_80"/>
            <w:r w:rsidRPr="0044048F">
              <w:rPr>
                <w:rFonts w:eastAsiaTheme="minorEastAsia"/>
              </w:rPr>
              <w:t>27</w:t>
            </w:r>
            <w:bookmarkEnd w:id="4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30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письма налогового органа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письма налогового органа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письма налогового органа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письма налогового органа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/>
    <w:p w:rsidR="00000000" w:rsidRDefault="0044048F">
      <w:pPr>
        <w:pStyle w:val="1"/>
      </w:pPr>
      <w:bookmarkStart w:id="48" w:name="sub_43"/>
      <w:r>
        <w:t>Часть 5.</w:t>
      </w:r>
      <w:r>
        <w:br/>
        <w:t>Сведения о поступлении денежных сре</w:t>
      </w:r>
      <w:proofErr w:type="gramStart"/>
      <w:r>
        <w:t>дств в п</w:t>
      </w:r>
      <w:proofErr w:type="gramEnd"/>
      <w:r>
        <w:t xml:space="preserve">огашение задолженности по суммам, не перечисленным банками </w:t>
      </w:r>
    </w:p>
    <w:bookmarkEnd w:id="48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120"/>
        <w:gridCol w:w="700"/>
        <w:gridCol w:w="980"/>
        <w:gridCol w:w="1540"/>
        <w:gridCol w:w="1120"/>
        <w:gridCol w:w="1260"/>
        <w:gridCol w:w="700"/>
        <w:gridCol w:w="980"/>
        <w:gridCol w:w="1400"/>
        <w:gridCol w:w="1120"/>
        <w:gridCol w:w="1260"/>
        <w:gridCol w:w="154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9. Исполнено платежных поручений налогоплательщиков в рамках конкурсного производства банка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 xml:space="preserve">10. Исполнено платежных поручений налогоплательщиков в рамках мирового соглашения банка </w:t>
            </w:r>
            <w:proofErr w:type="gramStart"/>
            <w:r w:rsidRPr="0044048F">
              <w:rPr>
                <w:rFonts w:eastAsiaTheme="minorEastAsia"/>
              </w:rPr>
              <w:t>с</w:t>
            </w:r>
            <w:proofErr w:type="gramEnd"/>
          </w:p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кредиторами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11. Иные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12. Остаток сумм, не перечисленных банком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13. Сумма, не перечисленная ликвидированной кредитной организацией в бюджетную систему Российской Федерации и списанная в соответствии с пунктом 4 статьи 59 Налогового кодекса Российской Федерации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49" w:name="sub_81"/>
            <w:r w:rsidRPr="0044048F">
              <w:rPr>
                <w:rFonts w:eastAsiaTheme="minorEastAsia"/>
              </w:rPr>
              <w:t>31</w:t>
            </w:r>
            <w:bookmarkEnd w:id="4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43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платежного поручения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платежного поручения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сумма, поступившая в рамках конкурсного производст</w:t>
            </w:r>
            <w:r w:rsidRPr="0044048F">
              <w:rPr>
                <w:rFonts w:eastAsiaTheme="minorEastAsia"/>
              </w:rPr>
              <w:lastRenderedPageBreak/>
              <w:t>ва банка,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lastRenderedPageBreak/>
              <w:t>дата платежного поручения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платежного поручения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сумма, поступившая по мировому соглашению,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остаток сумм, не перечисленных банком,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Списанная сумма, руб.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/>
    <w:p w:rsidR="00000000" w:rsidRDefault="0044048F">
      <w:pPr>
        <w:pStyle w:val="1"/>
      </w:pPr>
      <w:bookmarkStart w:id="50" w:name="sub_44"/>
      <w:r>
        <w:t>Часть 6.</w:t>
      </w:r>
      <w:r>
        <w:br/>
      </w:r>
      <w:r>
        <w:t>Сведения об уплате и взыскании денежных средств налогоплательщиков</w:t>
      </w:r>
    </w:p>
    <w:bookmarkEnd w:id="50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400"/>
        <w:gridCol w:w="700"/>
        <w:gridCol w:w="980"/>
        <w:gridCol w:w="1400"/>
        <w:gridCol w:w="1260"/>
        <w:gridCol w:w="1260"/>
        <w:gridCol w:w="840"/>
        <w:gridCol w:w="980"/>
        <w:gridCol w:w="1260"/>
        <w:gridCol w:w="1120"/>
        <w:gridCol w:w="1120"/>
        <w:gridCol w:w="154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5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14. Уплачено налогоплательщиком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15. Взыскано со счета налогоплательщика, открытого в другом банке, без решения суда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16. Взыскано со счета налогоплательщика, открытого в другом банке,</w:t>
            </w:r>
            <w:r w:rsidRPr="0044048F">
              <w:rPr>
                <w:rFonts w:eastAsiaTheme="minorEastAsia"/>
              </w:rPr>
              <w:t xml:space="preserve"> по решению суда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51" w:name="sub_82"/>
            <w:r w:rsidRPr="0044048F">
              <w:rPr>
                <w:rFonts w:eastAsiaTheme="minorEastAsia"/>
              </w:rPr>
              <w:t>44</w:t>
            </w:r>
            <w:bookmarkEnd w:id="5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56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платежного поручения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платежного поручения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уплаченная сумма,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инкассового поручения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инкассового поручения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КБК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Style w:val="a4"/>
                <w:rFonts w:eastAsiaTheme="minorEastAsia"/>
                <w:b w:val="0"/>
                <w:bCs w:val="0"/>
              </w:rPr>
              <w:t>ОКТМО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сумма, взысканная без решения суда,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расчетного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расчетного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сумма, взысканная по решению суда, руб.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/>
    <w:p w:rsidR="00000000" w:rsidRDefault="0044048F">
      <w:pPr>
        <w:pStyle w:val="1"/>
      </w:pPr>
      <w:bookmarkStart w:id="52" w:name="sub_45"/>
      <w:r>
        <w:t>Часть 7.</w:t>
      </w:r>
      <w:r>
        <w:br/>
        <w:t xml:space="preserve">Сведения о возвращенных из бюджета суммах денежных средств, а также возмещенных процентах </w:t>
      </w:r>
    </w:p>
    <w:bookmarkEnd w:id="52"/>
    <w:p w:rsidR="00000000" w:rsidRDefault="004404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520"/>
        <w:gridCol w:w="2660"/>
        <w:gridCol w:w="3920"/>
        <w:gridCol w:w="3640"/>
      </w:tblGrid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17. Возвращено по решению суда в пользу налогоплательщика и возмещено процентов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bookmarkStart w:id="53" w:name="sub_83"/>
            <w:r w:rsidRPr="0044048F">
              <w:rPr>
                <w:rFonts w:eastAsiaTheme="minorEastAsia"/>
              </w:rPr>
              <w:t>57</w:t>
            </w:r>
            <w:bookmarkEnd w:id="5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59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60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61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наименование суда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дата решения суда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N дела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сумма, возвращенная из бюджета, руб.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4048F" w:rsidRDefault="0044048F">
            <w:pPr>
              <w:pStyle w:val="aff6"/>
              <w:jc w:val="center"/>
              <w:rPr>
                <w:rFonts w:eastAsiaTheme="minorEastAsia"/>
              </w:rPr>
            </w:pPr>
            <w:r w:rsidRPr="0044048F">
              <w:rPr>
                <w:rFonts w:eastAsiaTheme="minorEastAsia"/>
              </w:rPr>
              <w:t>сумма возмещенных процентов, руб.</w:t>
            </w:r>
          </w:p>
        </w:tc>
      </w:tr>
      <w:tr w:rsidR="00000000" w:rsidRPr="0044048F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Pr="0044048F" w:rsidRDefault="0044048F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44048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44048F"/>
    <w:p w:rsidR="00000000" w:rsidRDefault="0044048F">
      <w:pPr>
        <w:ind w:firstLine="698"/>
        <w:jc w:val="right"/>
      </w:pPr>
      <w:bookmarkStart w:id="54" w:name="sub_75"/>
      <w:r>
        <w:rPr>
          <w:rStyle w:val="a3"/>
        </w:rPr>
        <w:t>Приложение N 3</w:t>
      </w:r>
    </w:p>
    <w:bookmarkEnd w:id="54"/>
    <w:p w:rsidR="00000000" w:rsidRDefault="0044048F"/>
    <w:p w:rsidR="00000000" w:rsidRDefault="0044048F">
      <w:pPr>
        <w:pStyle w:val="1"/>
      </w:pPr>
      <w:r>
        <w:t>Порядок</w:t>
      </w:r>
      <w:r>
        <w:br/>
      </w:r>
      <w:proofErr w:type="gramStart"/>
      <w:r>
        <w:t>заполнения журнала учета сумм обязательных платежей</w:t>
      </w:r>
      <w:proofErr w:type="gramEnd"/>
      <w:r>
        <w:t xml:space="preserve"> налогоплательщиков, не перечисленных банками в бюджетную систему Российской Федерации</w:t>
      </w:r>
      <w:r>
        <w:br/>
        <w:t xml:space="preserve">(утв. </w:t>
      </w:r>
      <w:r>
        <w:rPr>
          <w:rStyle w:val="a4"/>
        </w:rPr>
        <w:t>приказом</w:t>
      </w:r>
      <w:r>
        <w:t xml:space="preserve"> Федеральной налоговой службы от 5 декабря 2014 г. N ММВ-7-8/613@)</w:t>
      </w:r>
    </w:p>
    <w:p w:rsidR="00000000" w:rsidRDefault="0044048F"/>
    <w:p w:rsidR="00000000" w:rsidRDefault="0044048F">
      <w:pPr>
        <w:pStyle w:val="1"/>
      </w:pPr>
      <w:bookmarkStart w:id="55" w:name="sub_71"/>
      <w:r>
        <w:t>Общие п</w:t>
      </w:r>
      <w:r>
        <w:t>оложения</w:t>
      </w:r>
    </w:p>
    <w:bookmarkEnd w:id="55"/>
    <w:p w:rsidR="00000000" w:rsidRDefault="0044048F"/>
    <w:p w:rsidR="00000000" w:rsidRDefault="0044048F">
      <w:r>
        <w:rPr>
          <w:rStyle w:val="a4"/>
        </w:rPr>
        <w:t>Журнал</w:t>
      </w:r>
      <w:r>
        <w:t xml:space="preserve"> учета сумм обязательных платежей налогоплательщиков, не перечисленных банками в бюджетную систему Российской Федерации (далее - Журнал учета), ведется в электронном виде налоговым органом по месту учета налого</w:t>
      </w:r>
      <w:r>
        <w:t>плательщика.</w:t>
      </w:r>
    </w:p>
    <w:p w:rsidR="00000000" w:rsidRDefault="0044048F">
      <w:r>
        <w:t>Журнал учета подразделяется на две части - действующую и архивную.</w:t>
      </w:r>
    </w:p>
    <w:p w:rsidR="00000000" w:rsidRDefault="0044048F">
      <w:r>
        <w:t xml:space="preserve">Исключение записи из Журнала учета осуществляется путем перенесения записи из действующей части в </w:t>
      </w:r>
      <w:proofErr w:type="gramStart"/>
      <w:r>
        <w:t>архивную</w:t>
      </w:r>
      <w:proofErr w:type="gramEnd"/>
      <w:r>
        <w:t>.</w:t>
      </w:r>
    </w:p>
    <w:p w:rsidR="00000000" w:rsidRDefault="0044048F">
      <w:r>
        <w:t>Восстановление записи в Журнале учета осуществляется путем перенесен</w:t>
      </w:r>
      <w:r>
        <w:t xml:space="preserve">ия записи из архивной части в </w:t>
      </w:r>
      <w:proofErr w:type="gramStart"/>
      <w:r>
        <w:t>действующую</w:t>
      </w:r>
      <w:proofErr w:type="gramEnd"/>
      <w:r>
        <w:t>.</w:t>
      </w:r>
    </w:p>
    <w:p w:rsidR="00000000" w:rsidRDefault="0044048F">
      <w:r>
        <w:t xml:space="preserve">При передаче </w:t>
      </w:r>
      <w:r>
        <w:t>на учет в налоговый орган по новому месту нахождения налогоплательщика, в отношении которого в Журнале учета имеются записи о суммах, не перечисленных банком, все сведения (материалы судебных дел, выписка из Журнала учета и пр.) передаются в налоговый орга</w:t>
      </w:r>
      <w:r>
        <w:t>н по месту нахождения налогоплательщика.</w:t>
      </w:r>
    </w:p>
    <w:p w:rsidR="00000000" w:rsidRDefault="0044048F"/>
    <w:p w:rsidR="00000000" w:rsidRDefault="0044048F">
      <w:pPr>
        <w:pStyle w:val="1"/>
      </w:pPr>
      <w:bookmarkStart w:id="56" w:name="sub_49"/>
      <w:r>
        <w:rPr>
          <w:rStyle w:val="a4"/>
        </w:rPr>
        <w:t>Часть 1</w:t>
      </w:r>
      <w:r>
        <w:br/>
        <w:t>Сведения о платежных поручениях и о налогоплательщиках</w:t>
      </w:r>
    </w:p>
    <w:bookmarkEnd w:id="56"/>
    <w:p w:rsidR="00000000" w:rsidRDefault="0044048F"/>
    <w:p w:rsidR="00000000" w:rsidRDefault="0044048F">
      <w:bookmarkStart w:id="57" w:name="sub_47"/>
      <w:r>
        <w:t>1. Платежное поручение (</w:t>
      </w:r>
      <w:r>
        <w:rPr>
          <w:rStyle w:val="a4"/>
        </w:rPr>
        <w:t>графы 1 - 5</w:t>
      </w:r>
      <w:r>
        <w:t>).</w:t>
      </w:r>
    </w:p>
    <w:bookmarkEnd w:id="57"/>
    <w:p w:rsidR="00000000" w:rsidRDefault="0044048F">
      <w:r>
        <w:t xml:space="preserve">В </w:t>
      </w:r>
      <w:r>
        <w:rPr>
          <w:rStyle w:val="a4"/>
        </w:rPr>
        <w:t>графах 1</w:t>
      </w:r>
      <w:r>
        <w:t xml:space="preserve">, 2 и </w:t>
      </w:r>
      <w:r>
        <w:t>3 Журнала учета отражаются соответственно дата, номер и сумма платежного поручения на перечисление обязательных платежей в бюджетную систему Российской Федерации.</w:t>
      </w:r>
    </w:p>
    <w:p w:rsidR="00000000" w:rsidRDefault="0044048F">
      <w:r>
        <w:t xml:space="preserve">В </w:t>
      </w:r>
      <w:r>
        <w:rPr>
          <w:rStyle w:val="a4"/>
        </w:rPr>
        <w:t>графах 4</w:t>
      </w:r>
      <w:r>
        <w:t xml:space="preserve"> и 5 отражаются соответственно </w:t>
      </w:r>
      <w:r>
        <w:rPr>
          <w:rStyle w:val="a4"/>
        </w:rPr>
        <w:t>КБК</w:t>
      </w:r>
      <w:r>
        <w:t xml:space="preserve"> и </w:t>
      </w:r>
      <w:r>
        <w:rPr>
          <w:rStyle w:val="a4"/>
        </w:rPr>
        <w:t>ОКТМО</w:t>
      </w:r>
      <w:r>
        <w:t xml:space="preserve">, </w:t>
      </w:r>
      <w:proofErr w:type="gramStart"/>
      <w:r>
        <w:t>указанные</w:t>
      </w:r>
      <w:proofErr w:type="gramEnd"/>
      <w:r>
        <w:t xml:space="preserve"> в платежном поручении.</w:t>
      </w:r>
    </w:p>
    <w:p w:rsidR="00000000" w:rsidRDefault="0044048F">
      <w:bookmarkStart w:id="58" w:name="sub_48"/>
      <w:r>
        <w:t>2. Налогоплательщик (</w:t>
      </w:r>
      <w:r>
        <w:rPr>
          <w:rStyle w:val="a4"/>
        </w:rPr>
        <w:t>графы 6 - 8</w:t>
      </w:r>
      <w:r>
        <w:t>).</w:t>
      </w:r>
    </w:p>
    <w:bookmarkEnd w:id="58"/>
    <w:p w:rsidR="00000000" w:rsidRDefault="0044048F">
      <w:r>
        <w:t xml:space="preserve">В </w:t>
      </w:r>
      <w:r>
        <w:rPr>
          <w:rStyle w:val="a4"/>
        </w:rPr>
        <w:t>графах 6</w:t>
      </w:r>
      <w:r>
        <w:t>, 7 указывается полное наименование/фамилия имя отчество</w:t>
      </w:r>
      <w:r>
        <w:t xml:space="preserve"> (отчество - при наличии), ИНН и КПП налогоплательщика.</w:t>
      </w:r>
    </w:p>
    <w:p w:rsidR="00000000" w:rsidRDefault="0044048F">
      <w:r>
        <w:t xml:space="preserve">В </w:t>
      </w:r>
      <w:r>
        <w:rPr>
          <w:rStyle w:val="a4"/>
        </w:rPr>
        <w:t>графе 8</w:t>
      </w:r>
      <w:r>
        <w:t xml:space="preserve"> указываются следующие сведения о налогоплательщике:</w:t>
      </w:r>
    </w:p>
    <w:p w:rsidR="00000000" w:rsidRDefault="0044048F">
      <w:r>
        <w:t>1) налогоплательщик ликвидирован (снят с учета в связи с ликвидацией);</w:t>
      </w:r>
    </w:p>
    <w:p w:rsidR="00000000" w:rsidRDefault="0044048F">
      <w:r>
        <w:t xml:space="preserve">2) налогоплательщик снят с учета в связи с </w:t>
      </w:r>
      <w:r>
        <w:t>изменением местонахождения;</w:t>
      </w:r>
    </w:p>
    <w:p w:rsidR="00000000" w:rsidRDefault="0044048F">
      <w:r>
        <w:t>3) налогоплательщик находится в стадии банкротства;</w:t>
      </w:r>
    </w:p>
    <w:p w:rsidR="00000000" w:rsidRDefault="0044048F">
      <w:r>
        <w:t>4) налогоплательщик осуществляет финансово-хозяйственную деятельность;</w:t>
      </w:r>
    </w:p>
    <w:p w:rsidR="00000000" w:rsidRDefault="0044048F">
      <w:r>
        <w:t>5) другое.</w:t>
      </w:r>
    </w:p>
    <w:p w:rsidR="00000000" w:rsidRDefault="0044048F"/>
    <w:p w:rsidR="00000000" w:rsidRDefault="0044048F">
      <w:pPr>
        <w:pStyle w:val="1"/>
      </w:pPr>
      <w:bookmarkStart w:id="59" w:name="sub_52"/>
      <w:r>
        <w:rPr>
          <w:rStyle w:val="a4"/>
        </w:rPr>
        <w:t>Часть 2</w:t>
      </w:r>
      <w:r>
        <w:br/>
        <w:t>Сведения о кредитных организациях и расчетных счетах на</w:t>
      </w:r>
      <w:r>
        <w:t>логоплательщиков</w:t>
      </w:r>
    </w:p>
    <w:bookmarkEnd w:id="59"/>
    <w:p w:rsidR="00000000" w:rsidRDefault="0044048F"/>
    <w:p w:rsidR="00000000" w:rsidRDefault="0044048F">
      <w:bookmarkStart w:id="60" w:name="sub_50"/>
      <w:r>
        <w:t>3. Банк (</w:t>
      </w:r>
      <w:r>
        <w:rPr>
          <w:rStyle w:val="a4"/>
        </w:rPr>
        <w:t>графы 9 - 14</w:t>
      </w:r>
      <w:r>
        <w:t>).</w:t>
      </w:r>
    </w:p>
    <w:bookmarkEnd w:id="60"/>
    <w:p w:rsidR="00000000" w:rsidRDefault="0044048F">
      <w:r>
        <w:t xml:space="preserve">В </w:t>
      </w:r>
      <w:r>
        <w:rPr>
          <w:rStyle w:val="a4"/>
        </w:rPr>
        <w:t>графах 9</w:t>
      </w:r>
      <w:r>
        <w:t xml:space="preserve"> и 10 указываются соответственно </w:t>
      </w:r>
      <w:r>
        <w:rPr>
          <w:rStyle w:val="a4"/>
        </w:rPr>
        <w:t>БИК</w:t>
      </w:r>
      <w:r>
        <w:t xml:space="preserve"> и наименование кредитной организации, не осуществившей перечисление</w:t>
      </w:r>
      <w:r>
        <w:t xml:space="preserve"> сре</w:t>
      </w:r>
      <w:proofErr w:type="gramStart"/>
      <w:r>
        <w:t>дств в б</w:t>
      </w:r>
      <w:proofErr w:type="gramEnd"/>
      <w:r>
        <w:t>юджетную систему Российской Федерации в соответствии с предъявленным платежным поручением.</w:t>
      </w:r>
    </w:p>
    <w:p w:rsidR="00000000" w:rsidRDefault="0044048F">
      <w:r>
        <w:t xml:space="preserve">В </w:t>
      </w:r>
      <w:r>
        <w:rPr>
          <w:rStyle w:val="a4"/>
        </w:rPr>
        <w:t>графе 11</w:t>
      </w:r>
      <w:r>
        <w:t xml:space="preserve"> отражаются сведения о банке (статус банка):</w:t>
      </w:r>
    </w:p>
    <w:p w:rsidR="00000000" w:rsidRDefault="0044048F">
      <w:r>
        <w:t>1) действующий платежеспособный банк;</w:t>
      </w:r>
    </w:p>
    <w:p w:rsidR="00000000" w:rsidRDefault="0044048F">
      <w:r>
        <w:t>2) у банка отозвана лицензия на осущ</w:t>
      </w:r>
      <w:r>
        <w:t>ествление банковских операций;</w:t>
      </w:r>
    </w:p>
    <w:p w:rsidR="00000000" w:rsidRDefault="0044048F">
      <w:r>
        <w:t>3) банк проходит процедуру реструктуризации (мировое соглашение);</w:t>
      </w:r>
    </w:p>
    <w:p w:rsidR="00000000" w:rsidRDefault="0044048F">
      <w:r>
        <w:t>4) банк ликвидирован.</w:t>
      </w:r>
    </w:p>
    <w:p w:rsidR="00000000" w:rsidRDefault="0044048F">
      <w:r>
        <w:t xml:space="preserve">В </w:t>
      </w:r>
      <w:r>
        <w:rPr>
          <w:rStyle w:val="a4"/>
        </w:rPr>
        <w:t>графе 12</w:t>
      </w:r>
      <w:r>
        <w:t xml:space="preserve"> указывается наименование документа, на основании которого отражены сведения о банке (статус банка) в г</w:t>
      </w:r>
      <w:r>
        <w:t>рафе 11 (например, приказ Банка России об отзыве лицензии на осуществление банковских операций, выписка из ЕГРЮЛ, решение (постановление, определение) суда).</w:t>
      </w:r>
    </w:p>
    <w:p w:rsidR="00000000" w:rsidRDefault="0044048F">
      <w:r>
        <w:t xml:space="preserve">В </w:t>
      </w:r>
      <w:r>
        <w:rPr>
          <w:rStyle w:val="a4"/>
        </w:rPr>
        <w:t>графах 13</w:t>
      </w:r>
      <w:r>
        <w:t xml:space="preserve"> и 14 указываются реквизиты документа из графы 12.</w:t>
      </w:r>
    </w:p>
    <w:p w:rsidR="00000000" w:rsidRDefault="0044048F">
      <w:bookmarkStart w:id="61" w:name="sub_51"/>
      <w:r>
        <w:t>4. Рас</w:t>
      </w:r>
      <w:r>
        <w:t>четный счет налогоплательщика (</w:t>
      </w:r>
      <w:r>
        <w:rPr>
          <w:rStyle w:val="a4"/>
        </w:rPr>
        <w:t>графы 15 - 19</w:t>
      </w:r>
      <w:r>
        <w:t>).</w:t>
      </w:r>
    </w:p>
    <w:bookmarkEnd w:id="61"/>
    <w:p w:rsidR="00000000" w:rsidRDefault="0044048F">
      <w:r>
        <w:t xml:space="preserve">В </w:t>
      </w:r>
      <w:r>
        <w:rPr>
          <w:rStyle w:val="a4"/>
        </w:rPr>
        <w:t>графах 15</w:t>
      </w:r>
      <w:r>
        <w:t xml:space="preserve"> и 16 указываются соответственно дата открытия и номер расчетного счета налогоплательщика в соответствии с номером, указанным в платежном поручении. В случае перечисления платежей без открытия счета в банке проставляется "0" (ноль).</w:t>
      </w:r>
    </w:p>
    <w:p w:rsidR="00000000" w:rsidRDefault="0044048F">
      <w:r>
        <w:t xml:space="preserve">В </w:t>
      </w:r>
      <w:r>
        <w:rPr>
          <w:rStyle w:val="a4"/>
        </w:rPr>
        <w:t>графе 17</w:t>
      </w:r>
      <w:r>
        <w:t xml:space="preserve"> указывается источник поступления денежных средств на расчетный счет налогоплательщика:</w:t>
      </w:r>
    </w:p>
    <w:p w:rsidR="00000000" w:rsidRDefault="0044048F">
      <w:r>
        <w:t>1) внутренняя проводка - при поступлении сре</w:t>
      </w:r>
      <w:proofErr w:type="gramStart"/>
      <w:r>
        <w:t>дств с др</w:t>
      </w:r>
      <w:proofErr w:type="gramEnd"/>
      <w:r>
        <w:t>угого счета, открытого в том же банке;</w:t>
      </w:r>
    </w:p>
    <w:p w:rsidR="00000000" w:rsidRDefault="0044048F">
      <w:r>
        <w:t>2) погашение собственного векселя банка - при зачислении банком д</w:t>
      </w:r>
      <w:r>
        <w:t>енежных средств на расчетный счет налогоплательщика при погашении векселя банка;</w:t>
      </w:r>
    </w:p>
    <w:p w:rsidR="00000000" w:rsidRDefault="0044048F">
      <w:r>
        <w:t>3) касса - при поступлении денежных средств на расчетный счет налогоплательщика после внесения им наличных денежных сре</w:t>
      </w:r>
      <w:proofErr w:type="gramStart"/>
      <w:r>
        <w:t>дств в к</w:t>
      </w:r>
      <w:proofErr w:type="gramEnd"/>
      <w:r>
        <w:t>ассу банка;</w:t>
      </w:r>
    </w:p>
    <w:p w:rsidR="00000000" w:rsidRDefault="0044048F">
      <w:r>
        <w:t>4) корреспондентский счет в расчетно</w:t>
      </w:r>
      <w:r>
        <w:t>-кассовом центре Банка России (далее - РКЦ) - при поступлении денежных средств на расчетный счет налогоплательщика через корреспондентский счет банка, открытый в РКЦ;</w:t>
      </w:r>
    </w:p>
    <w:p w:rsidR="00000000" w:rsidRDefault="0044048F">
      <w:r>
        <w:t>5) иной источник.</w:t>
      </w:r>
    </w:p>
    <w:p w:rsidR="00000000" w:rsidRDefault="0044048F">
      <w:r>
        <w:t xml:space="preserve">В </w:t>
      </w:r>
      <w:r>
        <w:rPr>
          <w:rStyle w:val="a4"/>
        </w:rPr>
        <w:t>графе 18</w:t>
      </w:r>
      <w:r>
        <w:t xml:space="preserve"> указывается дата принятия банком к и</w:t>
      </w:r>
      <w:r>
        <w:t>сполнению платежного поручения.</w:t>
      </w:r>
    </w:p>
    <w:p w:rsidR="00000000" w:rsidRDefault="0044048F">
      <w:r>
        <w:t xml:space="preserve">В </w:t>
      </w:r>
      <w:r>
        <w:rPr>
          <w:rStyle w:val="a4"/>
        </w:rPr>
        <w:t>графе 19</w:t>
      </w:r>
      <w:r>
        <w:t xml:space="preserve"> указывается дата списания денежных сре</w:t>
      </w:r>
      <w:proofErr w:type="gramStart"/>
      <w:r>
        <w:t>дств с р</w:t>
      </w:r>
      <w:proofErr w:type="gramEnd"/>
      <w:r>
        <w:t>асчетного счета налогоплательщика (дата внесения налогоплательщиком наличных денежных средств) в счет уплаты обязательных платежей (по данным б</w:t>
      </w:r>
      <w:r>
        <w:t>анка).</w:t>
      </w:r>
    </w:p>
    <w:p w:rsidR="00000000" w:rsidRDefault="0044048F"/>
    <w:p w:rsidR="00000000" w:rsidRDefault="0044048F">
      <w:pPr>
        <w:pStyle w:val="1"/>
      </w:pPr>
      <w:bookmarkStart w:id="62" w:name="sub_55"/>
      <w:r>
        <w:rPr>
          <w:rStyle w:val="a4"/>
        </w:rPr>
        <w:t>Часть 3</w:t>
      </w:r>
      <w:r>
        <w:br/>
        <w:t>Сведения о решениях, принятых налоговыми органами, а также вступивших в законную силу решениях судов</w:t>
      </w:r>
    </w:p>
    <w:bookmarkEnd w:id="62"/>
    <w:p w:rsidR="00000000" w:rsidRDefault="0044048F"/>
    <w:p w:rsidR="00000000" w:rsidRDefault="0044048F">
      <w:bookmarkStart w:id="63" w:name="sub_53"/>
      <w:r>
        <w:t>5. Решение налогового органа (</w:t>
      </w:r>
      <w:r>
        <w:rPr>
          <w:rStyle w:val="a4"/>
        </w:rPr>
        <w:t>графы 20 - 22</w:t>
      </w:r>
      <w:r>
        <w:t>).</w:t>
      </w:r>
    </w:p>
    <w:bookmarkEnd w:id="63"/>
    <w:p w:rsidR="00000000" w:rsidRDefault="0044048F">
      <w:r>
        <w:t xml:space="preserve">В </w:t>
      </w:r>
      <w:r>
        <w:rPr>
          <w:rStyle w:val="a4"/>
        </w:rPr>
        <w:t>графах 20 - 22</w:t>
      </w:r>
      <w:r>
        <w:t xml:space="preserve"> указываются сведения о принятых решениях комиссии налогового органа об отражении (отказе в отражении) денежных средств, не перечисленных банком в бюджетную систему Российской Федерации</w:t>
      </w:r>
    </w:p>
    <w:p w:rsidR="00000000" w:rsidRDefault="0044048F">
      <w:r>
        <w:t xml:space="preserve">В </w:t>
      </w:r>
      <w:r>
        <w:rPr>
          <w:rStyle w:val="a4"/>
        </w:rPr>
        <w:t>графах 20 - 22</w:t>
      </w:r>
      <w:r>
        <w:t xml:space="preserve"> указывают</w:t>
      </w:r>
      <w:r>
        <w:t>ся соответственно дата, номер протокола заседания комиссии налогового органа и формулировка решения комиссии налогового органа.</w:t>
      </w:r>
    </w:p>
    <w:p w:rsidR="00000000" w:rsidRDefault="0044048F">
      <w:r>
        <w:t xml:space="preserve">В </w:t>
      </w:r>
      <w:r>
        <w:rPr>
          <w:rStyle w:val="a4"/>
        </w:rPr>
        <w:t>графе 22</w:t>
      </w:r>
      <w:r>
        <w:t xml:space="preserve"> указывается итоговая часть принятого комиссией решения:</w:t>
      </w:r>
    </w:p>
    <w:p w:rsidR="00000000" w:rsidRDefault="0044048F">
      <w:r>
        <w:lastRenderedPageBreak/>
        <w:t>1) отразить суммы, не перечисленные б</w:t>
      </w:r>
      <w:r>
        <w:t>анком;</w:t>
      </w:r>
    </w:p>
    <w:p w:rsidR="00000000" w:rsidRDefault="0044048F">
      <w:r>
        <w:t>2) отказать в отражении;</w:t>
      </w:r>
    </w:p>
    <w:p w:rsidR="00000000" w:rsidRDefault="0044048F">
      <w:r>
        <w:t>3) отменить решение налогового органа, отразить суммы, не перечисленные банком;</w:t>
      </w:r>
    </w:p>
    <w:p w:rsidR="00000000" w:rsidRDefault="0044048F">
      <w:r>
        <w:t>4) отменить решение налогового органа, отказать в отражении.</w:t>
      </w:r>
    </w:p>
    <w:p w:rsidR="00000000" w:rsidRDefault="0044048F">
      <w:bookmarkStart w:id="64" w:name="sub_54"/>
      <w:r>
        <w:t>6. Решение суда (</w:t>
      </w:r>
      <w:r>
        <w:rPr>
          <w:rStyle w:val="a4"/>
        </w:rPr>
        <w:t>графы 23 - 26</w:t>
      </w:r>
      <w:r>
        <w:t>).</w:t>
      </w:r>
    </w:p>
    <w:bookmarkEnd w:id="64"/>
    <w:p w:rsidR="00000000" w:rsidRDefault="0044048F">
      <w:r>
        <w:t xml:space="preserve">В </w:t>
      </w:r>
      <w:r>
        <w:rPr>
          <w:rStyle w:val="a4"/>
        </w:rPr>
        <w:t>графе 23</w:t>
      </w:r>
      <w:r>
        <w:t xml:space="preserve"> указывается наименование суда, рассматривающего спор между налогоплательщиком и налоговым органом о признании (непризнании) обязанности по уплате обязательных платежей исполненной.</w:t>
      </w:r>
    </w:p>
    <w:p w:rsidR="00000000" w:rsidRDefault="0044048F">
      <w:r>
        <w:t xml:space="preserve">В </w:t>
      </w:r>
      <w:r>
        <w:rPr>
          <w:rStyle w:val="a4"/>
        </w:rPr>
        <w:t>графах 24</w:t>
      </w:r>
      <w:r>
        <w:t xml:space="preserve"> и 25 указываются д</w:t>
      </w:r>
      <w:r>
        <w:t>ата принятия судом решения (постановления, определения), вступившего в законную силу, и номер дела.</w:t>
      </w:r>
    </w:p>
    <w:p w:rsidR="00000000" w:rsidRDefault="0044048F">
      <w:r>
        <w:t xml:space="preserve">В </w:t>
      </w:r>
      <w:r>
        <w:rPr>
          <w:rStyle w:val="a4"/>
        </w:rPr>
        <w:t>графе 26</w:t>
      </w:r>
      <w:r>
        <w:t xml:space="preserve"> указывается содержание решения (постановления, определения) суда:</w:t>
      </w:r>
    </w:p>
    <w:p w:rsidR="00000000" w:rsidRDefault="0044048F">
      <w:r>
        <w:t>1) признать обязанность налогоплательщика исполненной;</w:t>
      </w:r>
    </w:p>
    <w:p w:rsidR="00000000" w:rsidRDefault="0044048F">
      <w:r>
        <w:t>2) отказать в признании исполненной обязанности налогоплательщика;</w:t>
      </w:r>
    </w:p>
    <w:p w:rsidR="00000000" w:rsidRDefault="0044048F">
      <w:r>
        <w:t>3) отменить и направить на новое рассмотрение;</w:t>
      </w:r>
    </w:p>
    <w:p w:rsidR="00000000" w:rsidRDefault="0044048F">
      <w:r>
        <w:t>4) отменить решение налогового органа;</w:t>
      </w:r>
    </w:p>
    <w:p w:rsidR="00000000" w:rsidRDefault="0044048F">
      <w:r>
        <w:t xml:space="preserve">5) отказать в признании </w:t>
      </w:r>
      <w:proofErr w:type="gramStart"/>
      <w:r>
        <w:t>недействительным</w:t>
      </w:r>
      <w:proofErr w:type="gramEnd"/>
      <w:r>
        <w:t xml:space="preserve"> решения налогового органа.</w:t>
      </w:r>
    </w:p>
    <w:p w:rsidR="00000000" w:rsidRDefault="0044048F"/>
    <w:p w:rsidR="00000000" w:rsidRDefault="0044048F">
      <w:pPr>
        <w:pStyle w:val="1"/>
      </w:pPr>
      <w:bookmarkStart w:id="65" w:name="sub_58"/>
      <w:r>
        <w:rPr>
          <w:rStyle w:val="a4"/>
        </w:rPr>
        <w:t>Часть 4</w:t>
      </w:r>
      <w:r>
        <w:br/>
        <w:t>Сведения о проведенных налоговыми органами мероприятиях, направленных на снижение сумм, не перечисленных банками</w:t>
      </w:r>
    </w:p>
    <w:bookmarkEnd w:id="65"/>
    <w:p w:rsidR="00000000" w:rsidRDefault="0044048F"/>
    <w:p w:rsidR="00000000" w:rsidRDefault="0044048F">
      <w:bookmarkStart w:id="66" w:name="sub_56"/>
      <w:r>
        <w:t>7. Передано материалов в органы внутренних дел/следственные органы (</w:t>
      </w:r>
      <w:r>
        <w:rPr>
          <w:rStyle w:val="a4"/>
        </w:rPr>
        <w:t>графы 27 - 28</w:t>
      </w:r>
      <w:r>
        <w:t>).</w:t>
      </w:r>
    </w:p>
    <w:bookmarkEnd w:id="66"/>
    <w:p w:rsidR="00000000" w:rsidRDefault="0044048F">
      <w:r>
        <w:t xml:space="preserve">В </w:t>
      </w:r>
      <w:r>
        <w:rPr>
          <w:rStyle w:val="a4"/>
        </w:rPr>
        <w:t>графах 27</w:t>
      </w:r>
      <w:r>
        <w:t xml:space="preserve"> и 28 указываются дата и номер письма, согласно которому материалы в отношении налогоплательщиков или банков были переданы в органы внутренних дел для проведения оперативно-розыскных мероприятий, и (или) в следственные органы для при</w:t>
      </w:r>
      <w:r>
        <w:t>нятия решения о возбуждении уголовного дела.</w:t>
      </w:r>
    </w:p>
    <w:p w:rsidR="00000000" w:rsidRDefault="0044048F">
      <w:bookmarkStart w:id="67" w:name="sub_57"/>
      <w:r>
        <w:t>8. Предъявлено требований в конкурсное производство (</w:t>
      </w:r>
      <w:r>
        <w:rPr>
          <w:rStyle w:val="a4"/>
        </w:rPr>
        <w:t>графы 29 - 30</w:t>
      </w:r>
      <w:r>
        <w:t>).</w:t>
      </w:r>
    </w:p>
    <w:bookmarkEnd w:id="67"/>
    <w:p w:rsidR="00000000" w:rsidRDefault="0044048F">
      <w:r>
        <w:t xml:space="preserve">В </w:t>
      </w:r>
      <w:r>
        <w:rPr>
          <w:rStyle w:val="a4"/>
        </w:rPr>
        <w:t>графах 29</w:t>
      </w:r>
      <w:r>
        <w:t xml:space="preserve"> и 30 указываются дата и номер письма налогового органа, содержащего тр</w:t>
      </w:r>
      <w:r>
        <w:t>ебования, предъявленные налоговым органом банку, о суммах задолженности для включения в реестр требований кредиторов банка. Графы 29 и 30 заполняются налоговым органом по месту учета налоговых обязательств налогоплательщика в случае включения суммы, указан</w:t>
      </w:r>
      <w:r>
        <w:t>ной в платежном поручении, в реестр требований кредиторов банка.</w:t>
      </w:r>
    </w:p>
    <w:p w:rsidR="00000000" w:rsidRDefault="0044048F"/>
    <w:p w:rsidR="00000000" w:rsidRDefault="0044048F">
      <w:pPr>
        <w:pStyle w:val="1"/>
      </w:pPr>
      <w:bookmarkStart w:id="68" w:name="sub_64"/>
      <w:r>
        <w:rPr>
          <w:rStyle w:val="a4"/>
        </w:rPr>
        <w:t>Часть 5</w:t>
      </w:r>
      <w:r>
        <w:br/>
        <w:t>Сведения о поступлении денежных сре</w:t>
      </w:r>
      <w:proofErr w:type="gramStart"/>
      <w:r>
        <w:t>дств в п</w:t>
      </w:r>
      <w:proofErr w:type="gramEnd"/>
      <w:r>
        <w:t>огашение задолженности по суммам, не перечисленным банками</w:t>
      </w:r>
    </w:p>
    <w:bookmarkEnd w:id="68"/>
    <w:p w:rsidR="00000000" w:rsidRDefault="0044048F"/>
    <w:p w:rsidR="00000000" w:rsidRDefault="0044048F">
      <w:bookmarkStart w:id="69" w:name="sub_59"/>
      <w:r>
        <w:t>9. Исполнено платежных поручений нало</w:t>
      </w:r>
      <w:r>
        <w:t>гоплательщиков в рамках конкурсного производства банка (</w:t>
      </w:r>
      <w:r>
        <w:rPr>
          <w:rStyle w:val="a4"/>
        </w:rPr>
        <w:t>графы 31 - 35</w:t>
      </w:r>
      <w:r>
        <w:t>).</w:t>
      </w:r>
    </w:p>
    <w:bookmarkEnd w:id="69"/>
    <w:p w:rsidR="00000000" w:rsidRDefault="0044048F">
      <w:r>
        <w:t xml:space="preserve">В </w:t>
      </w:r>
      <w:r>
        <w:rPr>
          <w:rStyle w:val="a4"/>
        </w:rPr>
        <w:t>графах 31</w:t>
      </w:r>
      <w:r>
        <w:t xml:space="preserve"> и 32 указываются соответственно дата и номер платежного поручения банка, на основании которого денежные средства зачис</w:t>
      </w:r>
      <w:r>
        <w:t>лены в бюджетную систему Российской Федерации.</w:t>
      </w:r>
    </w:p>
    <w:p w:rsidR="00000000" w:rsidRDefault="0044048F">
      <w:r>
        <w:t xml:space="preserve">В </w:t>
      </w:r>
      <w:r>
        <w:rPr>
          <w:rStyle w:val="a4"/>
        </w:rPr>
        <w:t>графах 33</w:t>
      </w:r>
      <w:r>
        <w:t xml:space="preserve"> и 34 указываются </w:t>
      </w:r>
      <w:r>
        <w:rPr>
          <w:rStyle w:val="a4"/>
        </w:rPr>
        <w:t>КБК</w:t>
      </w:r>
      <w:r>
        <w:t xml:space="preserve"> и </w:t>
      </w:r>
      <w:r>
        <w:rPr>
          <w:rStyle w:val="a4"/>
        </w:rPr>
        <w:t>ОКТМО</w:t>
      </w:r>
      <w:r>
        <w:t>, в соответствии с платежным поручением.</w:t>
      </w:r>
    </w:p>
    <w:p w:rsidR="00000000" w:rsidRDefault="0044048F">
      <w:r>
        <w:t xml:space="preserve">В </w:t>
      </w:r>
      <w:r>
        <w:rPr>
          <w:rStyle w:val="a4"/>
        </w:rPr>
        <w:t>граф</w:t>
      </w:r>
      <w:r>
        <w:rPr>
          <w:rStyle w:val="a4"/>
        </w:rPr>
        <w:t>е 35</w:t>
      </w:r>
      <w:r>
        <w:t xml:space="preserve"> указывается сумма денежных средств, поступившая в бюджет в </w:t>
      </w:r>
      <w:r>
        <w:lastRenderedPageBreak/>
        <w:t>соответствии с платежным поручением.</w:t>
      </w:r>
    </w:p>
    <w:p w:rsidR="00000000" w:rsidRDefault="0044048F">
      <w:bookmarkStart w:id="70" w:name="sub_60"/>
      <w:r>
        <w:t>10. Исполнено платежных поручений налогоплательщиков в рамках мирового соглашения банка с кредиторами (</w:t>
      </w:r>
      <w:r>
        <w:rPr>
          <w:rStyle w:val="a4"/>
        </w:rPr>
        <w:t>графы 36 - 40</w:t>
      </w:r>
      <w:r>
        <w:t>).</w:t>
      </w:r>
    </w:p>
    <w:bookmarkEnd w:id="70"/>
    <w:p w:rsidR="00000000" w:rsidRDefault="0044048F">
      <w:r>
        <w:t xml:space="preserve">При погашении кредитной организацией задолженности по суммам, не перечисленным банком, в процессе исполнения условий заключенного с кредиторами мирового соглашения в </w:t>
      </w:r>
      <w:r>
        <w:rPr>
          <w:rStyle w:val="a4"/>
        </w:rPr>
        <w:t>графах 36</w:t>
      </w:r>
      <w:r>
        <w:t xml:space="preserve"> и 37 указываются дата и номер платежного поручения ба</w:t>
      </w:r>
      <w:r>
        <w:t>нка, на основании которого денежные средства зачислены в бюджетную систему Российской Федерации.</w:t>
      </w:r>
    </w:p>
    <w:p w:rsidR="00000000" w:rsidRDefault="0044048F">
      <w:r>
        <w:t xml:space="preserve">В </w:t>
      </w:r>
      <w:r>
        <w:rPr>
          <w:rStyle w:val="a4"/>
        </w:rPr>
        <w:t>графах 38</w:t>
      </w:r>
      <w:r>
        <w:t xml:space="preserve"> и 39 указываются </w:t>
      </w:r>
      <w:r>
        <w:rPr>
          <w:rStyle w:val="a4"/>
        </w:rPr>
        <w:t>КБК</w:t>
      </w:r>
      <w:r>
        <w:t xml:space="preserve"> и </w:t>
      </w:r>
      <w:r>
        <w:rPr>
          <w:rStyle w:val="a4"/>
        </w:rPr>
        <w:t>ОКТМО</w:t>
      </w:r>
      <w:r>
        <w:t>, в соответствии с</w:t>
      </w:r>
      <w:r>
        <w:t xml:space="preserve"> платежным поручением.</w:t>
      </w:r>
    </w:p>
    <w:p w:rsidR="00000000" w:rsidRDefault="0044048F">
      <w:r>
        <w:t xml:space="preserve">В </w:t>
      </w:r>
      <w:r>
        <w:rPr>
          <w:rStyle w:val="a4"/>
        </w:rPr>
        <w:t>графе 40</w:t>
      </w:r>
      <w:r>
        <w:t xml:space="preserve"> отражается сумма поступивших денежных средств.</w:t>
      </w:r>
    </w:p>
    <w:p w:rsidR="00000000" w:rsidRDefault="0044048F">
      <w:bookmarkStart w:id="71" w:name="sub_61"/>
      <w:r>
        <w:t>11. Иные поступления (</w:t>
      </w:r>
      <w:r>
        <w:rPr>
          <w:rStyle w:val="a4"/>
        </w:rPr>
        <w:t>графа 41</w:t>
      </w:r>
      <w:r>
        <w:t>).</w:t>
      </w:r>
    </w:p>
    <w:bookmarkEnd w:id="71"/>
    <w:p w:rsidR="00000000" w:rsidRDefault="0044048F">
      <w:r>
        <w:t xml:space="preserve">В </w:t>
      </w:r>
      <w:r>
        <w:rPr>
          <w:rStyle w:val="a4"/>
        </w:rPr>
        <w:t>графе 41</w:t>
      </w:r>
      <w:r>
        <w:t xml:space="preserve"> указывается сумма денежных средств, поступившая</w:t>
      </w:r>
      <w:r>
        <w:t xml:space="preserve"> в бюджетную систему Российской Федерации в результате возобновления банком перечисления обязательных платежей клиентов.</w:t>
      </w:r>
    </w:p>
    <w:p w:rsidR="00000000" w:rsidRDefault="0044048F">
      <w:bookmarkStart w:id="72" w:name="sub_62"/>
      <w:r>
        <w:t>12. Остаток сумм, не перечисленных банком (</w:t>
      </w:r>
      <w:r>
        <w:rPr>
          <w:rStyle w:val="a4"/>
        </w:rPr>
        <w:t>графа 42</w:t>
      </w:r>
      <w:r>
        <w:t>).</w:t>
      </w:r>
    </w:p>
    <w:bookmarkEnd w:id="72"/>
    <w:p w:rsidR="00000000" w:rsidRDefault="0044048F">
      <w:r>
        <w:t xml:space="preserve">При частичном или полном погашении суммы, не перечисленной банком и отраженной в </w:t>
      </w:r>
      <w:r>
        <w:rPr>
          <w:rStyle w:val="a4"/>
        </w:rPr>
        <w:t>графе 3</w:t>
      </w:r>
      <w:r>
        <w:t xml:space="preserve"> Журнала учета, остаток суммы, не поступившей в бюджеты, отражается в </w:t>
      </w:r>
      <w:r>
        <w:rPr>
          <w:rStyle w:val="a4"/>
        </w:rPr>
        <w:t>графе 42</w:t>
      </w:r>
      <w:r>
        <w:t>.</w:t>
      </w:r>
    </w:p>
    <w:p w:rsidR="00000000" w:rsidRDefault="0044048F">
      <w:r>
        <w:t>Формула расчета суммы, отражаемой по гра</w:t>
      </w:r>
      <w:r>
        <w:t>фе 40, следующая:</w:t>
      </w:r>
    </w:p>
    <w:p w:rsidR="00000000" w:rsidRDefault="0044048F">
      <w:r>
        <w:rPr>
          <w:rStyle w:val="a4"/>
        </w:rPr>
        <w:t>гр. 42</w:t>
      </w:r>
      <w:r>
        <w:t xml:space="preserve"> = </w:t>
      </w:r>
      <w:r>
        <w:rPr>
          <w:rStyle w:val="a4"/>
        </w:rPr>
        <w:t>гр. 3</w:t>
      </w:r>
      <w:r>
        <w:t xml:space="preserve"> - </w:t>
      </w:r>
      <w:r>
        <w:rPr>
          <w:rStyle w:val="a4"/>
        </w:rPr>
        <w:t>гр. 35</w:t>
      </w:r>
      <w:r>
        <w:t xml:space="preserve"> - гр. 40 - гр. 41 - </w:t>
      </w:r>
      <w:r>
        <w:rPr>
          <w:rStyle w:val="a4"/>
        </w:rPr>
        <w:t>гр. 48</w:t>
      </w:r>
      <w:r>
        <w:t xml:space="preserve"> - гр. 43.</w:t>
      </w:r>
    </w:p>
    <w:p w:rsidR="00000000" w:rsidRDefault="0044048F">
      <w:bookmarkStart w:id="73" w:name="sub_63"/>
      <w:r>
        <w:t>13. Сумма, не перечисленная ликвидированной кредитной организацией в бюджет</w:t>
      </w:r>
      <w:r>
        <w:t xml:space="preserve">ную систему Российской Федерации и списанная в соответствии с </w:t>
      </w:r>
      <w:r>
        <w:rPr>
          <w:rStyle w:val="a4"/>
        </w:rPr>
        <w:t>пунктом 4 статьи 59</w:t>
      </w:r>
      <w:r>
        <w:t xml:space="preserve"> Налогового кодекса Российской Федерации (</w:t>
      </w:r>
      <w:r>
        <w:rPr>
          <w:rStyle w:val="a4"/>
        </w:rPr>
        <w:t>графа 43</w:t>
      </w:r>
      <w:r>
        <w:t>).</w:t>
      </w:r>
    </w:p>
    <w:bookmarkEnd w:id="73"/>
    <w:p w:rsidR="00000000" w:rsidRDefault="0044048F">
      <w:r>
        <w:t xml:space="preserve">В </w:t>
      </w:r>
      <w:r>
        <w:rPr>
          <w:rStyle w:val="a4"/>
        </w:rPr>
        <w:t>графе 43</w:t>
      </w:r>
      <w:r>
        <w:t xml:space="preserve"> указывается сумма, </w:t>
      </w:r>
      <w:r>
        <w:t xml:space="preserve">не перечисленная ликвидированной кредитной организацией в бюджетную систему Российской Федерации и списанная в соответствии с </w:t>
      </w:r>
      <w:r>
        <w:rPr>
          <w:rStyle w:val="a4"/>
        </w:rPr>
        <w:t>пунктом 4 статьи 59</w:t>
      </w:r>
      <w:r>
        <w:t xml:space="preserve"> Налогового кодекса Российской Федерации.</w:t>
      </w:r>
    </w:p>
    <w:p w:rsidR="00000000" w:rsidRDefault="0044048F"/>
    <w:p w:rsidR="00000000" w:rsidRDefault="0044048F">
      <w:pPr>
        <w:pStyle w:val="1"/>
      </w:pPr>
      <w:bookmarkStart w:id="74" w:name="sub_68"/>
      <w:r>
        <w:rPr>
          <w:rStyle w:val="a4"/>
        </w:rPr>
        <w:t>Час</w:t>
      </w:r>
      <w:r>
        <w:rPr>
          <w:rStyle w:val="a4"/>
        </w:rPr>
        <w:t>ть 6</w:t>
      </w:r>
      <w:r>
        <w:br/>
        <w:t>Сведения об уплате и взыскании денежных средств налогоплательщиков</w:t>
      </w:r>
    </w:p>
    <w:bookmarkEnd w:id="74"/>
    <w:p w:rsidR="00000000" w:rsidRDefault="0044048F"/>
    <w:p w:rsidR="00000000" w:rsidRDefault="0044048F">
      <w:bookmarkStart w:id="75" w:name="sub_65"/>
      <w:r>
        <w:t>14. Уплачено налогоплательщиком через другую кредитную организацию (</w:t>
      </w:r>
      <w:r>
        <w:rPr>
          <w:rStyle w:val="a4"/>
        </w:rPr>
        <w:t>графы 44 - 48</w:t>
      </w:r>
      <w:r>
        <w:t>).</w:t>
      </w:r>
    </w:p>
    <w:bookmarkEnd w:id="75"/>
    <w:p w:rsidR="00000000" w:rsidRDefault="0044048F">
      <w:r>
        <w:t xml:space="preserve">В </w:t>
      </w:r>
      <w:r>
        <w:rPr>
          <w:rStyle w:val="a4"/>
        </w:rPr>
        <w:t>графах 44</w:t>
      </w:r>
      <w:r>
        <w:t xml:space="preserve"> и 45 указываются дата и номер платежного поручения налогоплательщика, на основании которого уплаченные денежные средства зачислены в бюджет.</w:t>
      </w:r>
    </w:p>
    <w:p w:rsidR="00000000" w:rsidRDefault="0044048F">
      <w:r>
        <w:t xml:space="preserve">В </w:t>
      </w:r>
      <w:r>
        <w:rPr>
          <w:rStyle w:val="a4"/>
        </w:rPr>
        <w:t>графах 46</w:t>
      </w:r>
      <w:r>
        <w:t xml:space="preserve"> и 47 указываются </w:t>
      </w:r>
      <w:r>
        <w:rPr>
          <w:rStyle w:val="a4"/>
        </w:rPr>
        <w:t>КБК</w:t>
      </w:r>
      <w:r>
        <w:t xml:space="preserve"> и </w:t>
      </w:r>
      <w:r>
        <w:rPr>
          <w:rStyle w:val="a4"/>
        </w:rPr>
        <w:t>ОКТМО</w:t>
      </w:r>
      <w:r>
        <w:t>, в соответствии с платежным поручением.</w:t>
      </w:r>
    </w:p>
    <w:p w:rsidR="00000000" w:rsidRDefault="0044048F">
      <w:r>
        <w:t xml:space="preserve">В </w:t>
      </w:r>
      <w:r>
        <w:rPr>
          <w:rStyle w:val="a4"/>
        </w:rPr>
        <w:t>графе 48</w:t>
      </w:r>
      <w:r>
        <w:t xml:space="preserve"> указывается сумма денежных средств, уплаченная налогоплательщиком через другую кредитную организацию, в целях погашения задолженности по сумме, не перечи</w:t>
      </w:r>
      <w:r>
        <w:t>сленной банком.</w:t>
      </w:r>
    </w:p>
    <w:p w:rsidR="00000000" w:rsidRDefault="0044048F">
      <w:bookmarkStart w:id="76" w:name="sub_66"/>
      <w:r>
        <w:t>15. Взыскано со счета налогоплательщика, открытого в другом банке, без решения суда (</w:t>
      </w:r>
      <w:r>
        <w:rPr>
          <w:rStyle w:val="a4"/>
        </w:rPr>
        <w:t>графы 49 - 53</w:t>
      </w:r>
      <w:r>
        <w:t>).</w:t>
      </w:r>
    </w:p>
    <w:bookmarkEnd w:id="76"/>
    <w:p w:rsidR="00000000" w:rsidRDefault="0044048F">
      <w:r>
        <w:rPr>
          <w:rStyle w:val="a4"/>
        </w:rPr>
        <w:t>Графы 49 - 53</w:t>
      </w:r>
      <w:r>
        <w:t xml:space="preserve"> заполняются в случае взыскания налоговым органом денежных сре</w:t>
      </w:r>
      <w:proofErr w:type="gramStart"/>
      <w:r>
        <w:t>дств</w:t>
      </w:r>
      <w:r>
        <w:t xml:space="preserve"> в сч</w:t>
      </w:r>
      <w:proofErr w:type="gramEnd"/>
      <w:r>
        <w:t>ет уплаты обязательных платежей, списанных со счета налогоплательщика, но не поступивших на счета по учету доходов бюджетов.</w:t>
      </w:r>
    </w:p>
    <w:p w:rsidR="00000000" w:rsidRDefault="0044048F">
      <w:r>
        <w:t xml:space="preserve">В </w:t>
      </w:r>
      <w:r>
        <w:rPr>
          <w:rStyle w:val="a4"/>
        </w:rPr>
        <w:t>графах 49</w:t>
      </w:r>
      <w:r>
        <w:t xml:space="preserve"> и 50 указываются дата и номер инкассового поручения налогового органа.</w:t>
      </w:r>
    </w:p>
    <w:p w:rsidR="00000000" w:rsidRDefault="0044048F">
      <w:r>
        <w:t xml:space="preserve">В </w:t>
      </w:r>
      <w:r>
        <w:rPr>
          <w:rStyle w:val="a4"/>
        </w:rPr>
        <w:t>графах 51</w:t>
      </w:r>
      <w:r>
        <w:t xml:space="preserve"> и 52 указываются </w:t>
      </w:r>
      <w:r>
        <w:rPr>
          <w:rStyle w:val="a4"/>
        </w:rPr>
        <w:t>КБК</w:t>
      </w:r>
      <w:r>
        <w:t xml:space="preserve"> и </w:t>
      </w:r>
      <w:r>
        <w:rPr>
          <w:rStyle w:val="a4"/>
        </w:rPr>
        <w:t>ОКТМО</w:t>
      </w:r>
      <w:r>
        <w:t xml:space="preserve">, в соответствии с инкассовым </w:t>
      </w:r>
      <w:r>
        <w:lastRenderedPageBreak/>
        <w:t>поручением на взыскание.</w:t>
      </w:r>
    </w:p>
    <w:p w:rsidR="00000000" w:rsidRDefault="0044048F">
      <w:r>
        <w:t xml:space="preserve">В </w:t>
      </w:r>
      <w:r>
        <w:rPr>
          <w:rStyle w:val="a4"/>
        </w:rPr>
        <w:t>графе 53</w:t>
      </w:r>
      <w:r>
        <w:t xml:space="preserve"> указывается сумма обязательных платежей, пос</w:t>
      </w:r>
      <w:r>
        <w:t>тупившая в бюджет в результате взыскания.</w:t>
      </w:r>
    </w:p>
    <w:p w:rsidR="00000000" w:rsidRDefault="0044048F">
      <w:bookmarkStart w:id="77" w:name="sub_67"/>
      <w:r>
        <w:t>16. Взыскано со счета налогоплательщика, открытого в другом банке, по решению суда (</w:t>
      </w:r>
      <w:r>
        <w:rPr>
          <w:rStyle w:val="a4"/>
        </w:rPr>
        <w:t>графы 54 - 56</w:t>
      </w:r>
      <w:r>
        <w:t>).</w:t>
      </w:r>
    </w:p>
    <w:bookmarkEnd w:id="77"/>
    <w:p w:rsidR="00000000" w:rsidRDefault="0044048F">
      <w:r>
        <w:t xml:space="preserve">Данные графы Журнала учета заполняются </w:t>
      </w:r>
      <w:proofErr w:type="gramStart"/>
      <w:r>
        <w:t>при поступлении в бюджет денежных средс</w:t>
      </w:r>
      <w:r>
        <w:t>тв на основании исполнительных листов о взыскании с налогоплательщиков</w:t>
      </w:r>
      <w:proofErr w:type="gramEnd"/>
      <w:r>
        <w:t xml:space="preserve"> сумм, не перечисленных банками.</w:t>
      </w:r>
    </w:p>
    <w:p w:rsidR="00000000" w:rsidRDefault="0044048F">
      <w:r>
        <w:t xml:space="preserve">В </w:t>
      </w:r>
      <w:r>
        <w:rPr>
          <w:rStyle w:val="a4"/>
        </w:rPr>
        <w:t>графах 54</w:t>
      </w:r>
      <w:r>
        <w:t xml:space="preserve"> и 55 указываются дата и номер расчетного документа (платежного поручения, инкассового поручения), на основании которо</w:t>
      </w:r>
      <w:r>
        <w:t>го в бюджетную систему Российской Федерации поступили денежные средства в счет уплаты обязательных платежей по исполнительному листу.</w:t>
      </w:r>
    </w:p>
    <w:p w:rsidR="00000000" w:rsidRDefault="0044048F">
      <w:r>
        <w:t xml:space="preserve">В </w:t>
      </w:r>
      <w:r>
        <w:rPr>
          <w:rStyle w:val="a4"/>
        </w:rPr>
        <w:t>графе 56</w:t>
      </w:r>
      <w:r>
        <w:t xml:space="preserve"> отражается сумма денежных средств, поступившая в бюджетную систему Российской Федерации</w:t>
      </w:r>
      <w:r>
        <w:t>.</w:t>
      </w:r>
    </w:p>
    <w:p w:rsidR="00000000" w:rsidRDefault="0044048F"/>
    <w:p w:rsidR="00000000" w:rsidRDefault="0044048F">
      <w:pPr>
        <w:pStyle w:val="1"/>
      </w:pPr>
      <w:bookmarkStart w:id="78" w:name="sub_70"/>
      <w:r>
        <w:rPr>
          <w:rStyle w:val="a4"/>
        </w:rPr>
        <w:t>Часть 7</w:t>
      </w:r>
      <w:r>
        <w:br/>
        <w:t>Сведения о возвращенных из бюджета суммах денежных средств, а также возмещенных процентах</w:t>
      </w:r>
    </w:p>
    <w:bookmarkEnd w:id="78"/>
    <w:p w:rsidR="00000000" w:rsidRDefault="0044048F"/>
    <w:p w:rsidR="00000000" w:rsidRDefault="0044048F">
      <w:bookmarkStart w:id="79" w:name="sub_69"/>
      <w:r>
        <w:t>17. Возвращено по решению суда в пользу налогоплательщика и возмещено процентов (</w:t>
      </w:r>
      <w:r>
        <w:rPr>
          <w:rStyle w:val="a4"/>
        </w:rPr>
        <w:t>графы 57 -</w:t>
      </w:r>
      <w:r>
        <w:rPr>
          <w:rStyle w:val="a4"/>
        </w:rPr>
        <w:t xml:space="preserve"> 61</w:t>
      </w:r>
      <w:r>
        <w:t>).</w:t>
      </w:r>
    </w:p>
    <w:bookmarkEnd w:id="79"/>
    <w:p w:rsidR="00000000" w:rsidRDefault="0044048F">
      <w:r>
        <w:t xml:space="preserve">В </w:t>
      </w:r>
      <w:r>
        <w:rPr>
          <w:rStyle w:val="a4"/>
        </w:rPr>
        <w:t>графе 57</w:t>
      </w:r>
      <w:r>
        <w:t xml:space="preserve"> указывается наименование суда, вынесшего решение о возврате налогоплательщику денежных средств и возмещении процентов.</w:t>
      </w:r>
    </w:p>
    <w:p w:rsidR="00000000" w:rsidRDefault="0044048F">
      <w:r>
        <w:t xml:space="preserve">В </w:t>
      </w:r>
      <w:r>
        <w:rPr>
          <w:rStyle w:val="a4"/>
        </w:rPr>
        <w:t>графах 58</w:t>
      </w:r>
      <w:r>
        <w:t xml:space="preserve"> и 59 указываются дата и номер решения суда, на осно</w:t>
      </w:r>
      <w:r>
        <w:t>вании которого осуществлен возврат из бюджета денежных средств.</w:t>
      </w:r>
    </w:p>
    <w:p w:rsidR="00000000" w:rsidRDefault="0044048F">
      <w:r>
        <w:t xml:space="preserve">В </w:t>
      </w:r>
      <w:r>
        <w:rPr>
          <w:rStyle w:val="a4"/>
        </w:rPr>
        <w:t>графе 60</w:t>
      </w:r>
      <w:r>
        <w:t xml:space="preserve"> указывается размер денежных средств, возвращенных налоговыми органами налогоплательщику по решению суда.</w:t>
      </w:r>
    </w:p>
    <w:p w:rsidR="00000000" w:rsidRDefault="0044048F">
      <w:r>
        <w:t xml:space="preserve">В </w:t>
      </w:r>
      <w:r>
        <w:rPr>
          <w:rStyle w:val="a4"/>
        </w:rPr>
        <w:t>графе 61</w:t>
      </w:r>
      <w:r>
        <w:t xml:space="preserve"> указываются суммы процентов, возмещенных налоговыми органами по решениям судов, в связи с возвратом денежных средств, повторно взысканных налоговыми органами с налогоплательщиков.</w:t>
      </w:r>
    </w:p>
    <w:p w:rsidR="0044048F" w:rsidRDefault="0044048F"/>
    <w:sectPr w:rsidR="0044048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30"/>
    <w:rsid w:val="0044048F"/>
    <w:rsid w:val="00AB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4788</Words>
  <Characters>27292</Characters>
  <Application>Microsoft Office Word</Application>
  <DocSecurity>0</DocSecurity>
  <Lines>227</Lines>
  <Paragraphs>64</Paragraphs>
  <ScaleCrop>false</ScaleCrop>
  <Company>НПП "Гарант-Сервис"</Company>
  <LinksUpToDate>false</LinksUpToDate>
  <CharactersWithSpaces>32016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2014-12-22T05:59:00Z</dcterms:created>
  <dcterms:modified xsi:type="dcterms:W3CDTF">2014-12-22T05:59:00Z</dcterms:modified>
</cp:coreProperties>
</file>