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5E15">
      <w:pPr>
        <w:pStyle w:val="1"/>
      </w:pPr>
      <w:hyperlink r:id="rId4" w:history="1">
        <w:r>
          <w:rPr>
            <w:rStyle w:val="a4"/>
          </w:rPr>
          <w:t>Приказ Министерства труда и социальной защиты РФ от 4 августа 2014 г. N 517н</w:t>
        </w:r>
        <w:r>
          <w:rPr>
            <w:rStyle w:val="a4"/>
          </w:rPr>
          <w:br/>
          <w:t>"Об утверждении Порядка электронного документооборота между негосударственным пенсионным фондом, осуществ</w:t>
        </w:r>
        <w:r>
          <w:rPr>
            <w:rStyle w:val="a4"/>
          </w:rPr>
          <w:t>ляющим обязательное пенсионное страхование, и Пенсионным фондом Российской Федерации"</w:t>
        </w:r>
      </w:hyperlink>
    </w:p>
    <w:p w:rsidR="00000000" w:rsidRDefault="00BD5E15"/>
    <w:p w:rsidR="00000000" w:rsidRDefault="00BD5E15">
      <w:bookmarkStart w:id="0" w:name="sub_10"/>
      <w:r>
        <w:t xml:space="preserve">В соответствии с </w:t>
      </w:r>
      <w:hyperlink r:id="rId5" w:history="1">
        <w:r>
          <w:rPr>
            <w:rStyle w:val="a4"/>
          </w:rPr>
          <w:t>пунктом 7 статьи 36.4</w:t>
        </w:r>
      </w:hyperlink>
      <w:r>
        <w:t xml:space="preserve"> Федерального закона от 7 мая 1998 г. N </w:t>
      </w:r>
      <w:r>
        <w:t>75-ФЗ "О негосударственных пенсионных фондах" (Собрание законодательства Российской Федерации, 1998, N 19, ст. 2071; 2005, N 19, ст. 1755; 2007, N 50, ст. 6247; 2009, N 52, ст. 6454; 2010, N 31, ст. 4196; 2011, N 29, ст. 4291; 2013, N 30, ст. 4044, 4084; 2</w:t>
      </w:r>
      <w:r>
        <w:t xml:space="preserve">014, N 11, ст. 1098) и </w:t>
      </w:r>
      <w:hyperlink r:id="rId6" w:history="1">
        <w:r>
          <w:rPr>
            <w:rStyle w:val="a4"/>
          </w:rPr>
          <w:t>пунктом 2</w:t>
        </w:r>
      </w:hyperlink>
      <w:r>
        <w:t xml:space="preserve"> постановления Правительства Российской Федерации от 4 ноября 2003 г. N 669 "Об уполномоченном федеральном органе исполнительной власти, осуществляющем государственное регулирование деятельно</w:t>
      </w:r>
      <w:r>
        <w:t>сти негосударственных пенсионных фондов по негосударственному пенсионному обеспечению, обязательному пенсионному страхованию и профессиональному пенсионному страхованию" (Собрание законодательства Российской Федерации, 2003, N 45, ст. 4388; 2006, N 2, ст. </w:t>
      </w:r>
      <w:r>
        <w:t>226; 2007, N 12, ст. 1414; 2010, N 4, ст. 407; N 42, ст. 5386; 2011, N 36, ст. 5148; 2012, N 19, ст. 2406; 2013, N 13, ст. 1559; N 22, ст. 2827; N 36, ст. 4578) приказываю:</w:t>
      </w:r>
    </w:p>
    <w:p w:rsidR="00000000" w:rsidRDefault="00BD5E15">
      <w:bookmarkStart w:id="1" w:name="sub_1"/>
      <w:bookmarkEnd w:id="0"/>
      <w:r>
        <w:t>1. Утвердить по согласованию с Пенсионным фондом Российской Федерации пр</w:t>
      </w:r>
      <w:r>
        <w:t xml:space="preserve">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электронного документооборота между негосударственным пенсионным фондом, осуществляющим обязательное пенсионное страхование, и Пенсионным фондом Российской Федерации.</w:t>
      </w:r>
    </w:p>
    <w:p w:rsidR="00000000" w:rsidRDefault="00BD5E15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декабря 2006 г. N 883 "Об утверждении Порядка электронного документооборота между негосударственным пенсионным фондом, осуществляющим обязательн</w:t>
      </w:r>
      <w:r>
        <w:t>ое пенсионное страхование, и Пенсионным фондом Российской Федерации" (зарегистрирован Министерством юстиции Российской Федерации 5 февраля 2007 г. N 8887).</w:t>
      </w:r>
    </w:p>
    <w:bookmarkEnd w:id="2"/>
    <w:p w:rsidR="00000000" w:rsidRDefault="00BD5E1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D5E1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5E15" w:rsidRDefault="00BD5E15">
            <w:pPr>
              <w:pStyle w:val="afff"/>
              <w:rPr>
                <w:rFonts w:eastAsiaTheme="minorEastAsia"/>
              </w:rPr>
            </w:pPr>
            <w:r w:rsidRPr="00BD5E15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5E15" w:rsidRDefault="00BD5E15">
            <w:pPr>
              <w:pStyle w:val="aff6"/>
              <w:jc w:val="right"/>
              <w:rPr>
                <w:rFonts w:eastAsiaTheme="minorEastAsia"/>
              </w:rPr>
            </w:pPr>
            <w:r w:rsidRPr="00BD5E15">
              <w:rPr>
                <w:rFonts w:eastAsiaTheme="minorEastAsia"/>
              </w:rPr>
              <w:t>М.А. Топилин</w:t>
            </w:r>
          </w:p>
        </w:tc>
      </w:tr>
    </w:tbl>
    <w:p w:rsidR="00000000" w:rsidRDefault="00BD5E15"/>
    <w:p w:rsidR="00000000" w:rsidRDefault="00BD5E15">
      <w:pPr>
        <w:pStyle w:val="afff"/>
      </w:pPr>
      <w:r>
        <w:t>Зарегистрировано в Минюсте РФ 20 ноября 2014 г.</w:t>
      </w:r>
    </w:p>
    <w:p w:rsidR="00000000" w:rsidRDefault="00BD5E15">
      <w:pPr>
        <w:pStyle w:val="afff"/>
      </w:pPr>
      <w:r>
        <w:t>Регистрационный N 34806</w:t>
      </w:r>
    </w:p>
    <w:p w:rsidR="00000000" w:rsidRDefault="00BD5E15"/>
    <w:p w:rsidR="00000000" w:rsidRDefault="00BD5E15">
      <w:pPr>
        <w:pStyle w:val="1"/>
      </w:pPr>
      <w:bookmarkStart w:id="3" w:name="sub_1000"/>
      <w:r>
        <w:t>Порядок</w:t>
      </w:r>
      <w:r>
        <w:br/>
        <w:t>электронного документооборота между негосударственным пенсионным фондом, осуществляющим обязательное пенсионное страхование, и Пенсионным фондом Российской Федерации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</w:t>
      </w:r>
      <w:r>
        <w:t>щиты РФ от 4 августа 2014 г. N 517н)</w:t>
      </w:r>
    </w:p>
    <w:bookmarkEnd w:id="3"/>
    <w:p w:rsidR="00000000" w:rsidRDefault="00BD5E15"/>
    <w:p w:rsidR="00000000" w:rsidRDefault="00BD5E15">
      <w:bookmarkStart w:id="4" w:name="sub_1001"/>
      <w:r>
        <w:t>1. Настоящий Порядок определяет правила обмена документами между негосударственным пенсионным фондом, осуществляющим обязательное пенсионное страхование, и Пенсионным фондом Российской Федерации в элект</w:t>
      </w:r>
      <w:r>
        <w:t xml:space="preserve">ронной форме с применением усиленной </w:t>
      </w:r>
      <w:hyperlink r:id="rId8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в соответствии с законодательством Российской Федерации (далее - негосударственный пенсионный фонд, электронный обмен документами соответственно</w:t>
      </w:r>
      <w:r>
        <w:t>).</w:t>
      </w:r>
    </w:p>
    <w:p w:rsidR="00000000" w:rsidRDefault="00BD5E15">
      <w:bookmarkStart w:id="5" w:name="sub_1002"/>
      <w:bookmarkEnd w:id="4"/>
      <w:r>
        <w:t xml:space="preserve">2. Порядок формирования, передачи, приема и обработки электронных </w:t>
      </w:r>
      <w:r>
        <w:lastRenderedPageBreak/>
        <w:t xml:space="preserve">документов с применением усиленной квалифицированной электронной подписи и средств криптографической защиты информации, которыми обмениваются негосударственный пенсионный </w:t>
      </w:r>
      <w:r>
        <w:t>фонд и Пенсионный фонд Российской Федерации (далее - электронные документы), организация их защиты, перечень, сроки и периодичность направления, а также их форматы определяются соглашением об информационном взаимодействии, заключаемым на безвозмездной осно</w:t>
      </w:r>
      <w:r>
        <w:t>ве между негосударственным пенсионным фондом и Пенсионным фондом Российской Федерации (далее - Соглашение).</w:t>
      </w:r>
    </w:p>
    <w:p w:rsidR="00000000" w:rsidRDefault="00BD5E15">
      <w:bookmarkStart w:id="6" w:name="sub_1003"/>
      <w:bookmarkEnd w:id="5"/>
      <w:r>
        <w:t>3. Сроки и периодичность направления электронных документов должны соответствовать требованиям, установленным законодательством Росс</w:t>
      </w:r>
      <w:r>
        <w:t>ийской Федерации.</w:t>
      </w:r>
    </w:p>
    <w:p w:rsidR="00000000" w:rsidRDefault="00BD5E15">
      <w:bookmarkStart w:id="7" w:name="sub_1004"/>
      <w:bookmarkEnd w:id="6"/>
      <w:r>
        <w:t>4. Пенсионный фонд Российской Федерации и негосударственный пенсионный фонд обязаны соблюдать конфиденциальность информации, содержащейся в электронных документах, и обеспечивать ее защиту от несанкционированного доступа.</w:t>
      </w:r>
    </w:p>
    <w:p w:rsidR="00000000" w:rsidRDefault="00BD5E15">
      <w:bookmarkStart w:id="8" w:name="sub_1005"/>
      <w:bookmarkEnd w:id="7"/>
      <w:r>
        <w:t>5. Настоящий Порядок применяется при обмене электронными документами, содержащими следующую информацию:</w:t>
      </w:r>
    </w:p>
    <w:p w:rsidR="00000000" w:rsidRDefault="00BD5E15">
      <w:bookmarkStart w:id="9" w:name="sub_1501"/>
      <w:bookmarkEnd w:id="8"/>
      <w:r>
        <w:t>1) о внесении Пенсионным фондом Российской Федерации изменений в единый реестр застрахованных лиц;</w:t>
      </w:r>
    </w:p>
    <w:p w:rsidR="00000000" w:rsidRDefault="00BD5E15">
      <w:bookmarkStart w:id="10" w:name="sub_1502"/>
      <w:bookmarkEnd w:id="9"/>
      <w:r>
        <w:t>2) об</w:t>
      </w:r>
      <w:r>
        <w:t xml:space="preserve"> отказе Пенсионного фонда Российской Федерации во внесении изменений в единый реестр застрахованных лиц;</w:t>
      </w:r>
    </w:p>
    <w:p w:rsidR="00000000" w:rsidRDefault="00BD5E15">
      <w:bookmarkStart w:id="11" w:name="sub_1503"/>
      <w:bookmarkEnd w:id="10"/>
      <w:r>
        <w:t>3) о застрахованных лицах, суммы средств пенсионных накоплений которых переданы Пенсионным фондом Российской Федерации в негосударственный пенсионный фонд;</w:t>
      </w:r>
    </w:p>
    <w:p w:rsidR="00000000" w:rsidRDefault="00BD5E15">
      <w:bookmarkStart w:id="12" w:name="sub_1504"/>
      <w:bookmarkEnd w:id="11"/>
      <w:r>
        <w:t>4) о застрахованных лицах, суммы средств пенсионных накоплений которых переданы из н</w:t>
      </w:r>
      <w:r>
        <w:t>егосударственного пенсионного фонда в Пенсионный фонд Российской Федерации;</w:t>
      </w:r>
    </w:p>
    <w:p w:rsidR="00000000" w:rsidRDefault="00BD5E15">
      <w:bookmarkStart w:id="13" w:name="sub_1505"/>
      <w:bookmarkEnd w:id="12"/>
      <w:r>
        <w:t>5) о смерти застрахованного лица, осуществлявшего формирование накопительной части трудовой пенсии через негосударственный пенсионный фонд;</w:t>
      </w:r>
    </w:p>
    <w:p w:rsidR="00000000" w:rsidRDefault="00BD5E15">
      <w:bookmarkStart w:id="14" w:name="sub_1506"/>
      <w:bookmarkEnd w:id="13"/>
      <w:r>
        <w:t>6) о вно</w:t>
      </w:r>
      <w:r>
        <w:t xml:space="preserve">вь заключенных негосударственным пенсионным фондом, осуществляющим обязательное пенсионное страхование, </w:t>
      </w:r>
      <w:hyperlink r:id="rId9" w:history="1">
        <w:r>
          <w:rPr>
            <w:rStyle w:val="a4"/>
          </w:rPr>
          <w:t>договорах</w:t>
        </w:r>
      </w:hyperlink>
      <w:r>
        <w:t xml:space="preserve"> об обязательном пенсионном страховании;</w:t>
      </w:r>
    </w:p>
    <w:p w:rsidR="00000000" w:rsidRDefault="00BD5E15">
      <w:bookmarkStart w:id="15" w:name="sub_1507"/>
      <w:bookmarkEnd w:id="14"/>
      <w:r>
        <w:t>7) о прекращении негосударственным пенсионным ф</w:t>
      </w:r>
      <w:r>
        <w:t>ондом договоров об обязательном пенсионном страховании;</w:t>
      </w:r>
    </w:p>
    <w:p w:rsidR="00000000" w:rsidRDefault="00BD5E15">
      <w:bookmarkStart w:id="16" w:name="sub_1508"/>
      <w:bookmarkEnd w:id="15"/>
      <w:r>
        <w:t>8) о приостановлении негосударственным пенсионным фондом привлечения новых застрахованных лиц по обязательному пенсионному страхованию;</w:t>
      </w:r>
    </w:p>
    <w:p w:rsidR="00000000" w:rsidRDefault="00BD5E15">
      <w:bookmarkStart w:id="17" w:name="sub_1509"/>
      <w:bookmarkEnd w:id="16"/>
      <w:r>
        <w:t>9) об исполнении негосударственн</w:t>
      </w:r>
      <w:r>
        <w:t>ым пенсионным фондом обязательств по договору об обязательном пенсионном страховании в части выплаты правопреемникам средств пенсионных накоплений, учтенных на пенсионном счете накопительной части трудовой пенсии застрахованного лица;</w:t>
      </w:r>
    </w:p>
    <w:p w:rsidR="00000000" w:rsidRDefault="00BD5E15">
      <w:bookmarkStart w:id="18" w:name="sub_1510"/>
      <w:bookmarkEnd w:id="17"/>
      <w:r>
        <w:t>10) о</w:t>
      </w:r>
      <w:r>
        <w:t xml:space="preserve"> зачислении средств пенсионных накоплений на счет негосударственного пенсионного фонда;</w:t>
      </w:r>
    </w:p>
    <w:p w:rsidR="00000000" w:rsidRDefault="00BD5E15">
      <w:bookmarkStart w:id="19" w:name="sub_1511"/>
      <w:bookmarkEnd w:id="18"/>
      <w:r>
        <w:t>11) о негосударственном пенсионном фонде, осуществляющем обязательное пенсионное страхование;</w:t>
      </w:r>
    </w:p>
    <w:p w:rsidR="00000000" w:rsidRDefault="00BD5E15">
      <w:bookmarkStart w:id="20" w:name="sub_1512"/>
      <w:bookmarkEnd w:id="19"/>
      <w:r>
        <w:t>12) о реквизитах отдельного банковского сч</w:t>
      </w:r>
      <w:r>
        <w:t>ета негосударственного пенсионного фонда, открываемого для осуществления операций со средствами пенсионных накоплений;</w:t>
      </w:r>
    </w:p>
    <w:p w:rsidR="00000000" w:rsidRDefault="00BD5E15">
      <w:bookmarkStart w:id="21" w:name="sub_1513"/>
      <w:bookmarkEnd w:id="20"/>
      <w:r>
        <w:t>13) о реквизитах отдельного счета, открытого территориальному органу Федерального казначейства в подразделении Центрально</w:t>
      </w:r>
      <w:r>
        <w:t>го банка Российской Федерации, для учета операций со средствами бюджета Пенсионного фонда Российской Федерации;</w:t>
      </w:r>
    </w:p>
    <w:p w:rsidR="00000000" w:rsidRDefault="00BD5E15">
      <w:bookmarkStart w:id="22" w:name="sub_1514"/>
      <w:bookmarkEnd w:id="21"/>
      <w:r>
        <w:lastRenderedPageBreak/>
        <w:t>14) об обращениях застрахованных лиц за выплатами за счет средств пенсионных накоплений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000000" w:rsidRDefault="00BD5E15">
      <w:bookmarkStart w:id="23" w:name="sub_1515"/>
      <w:bookmarkEnd w:id="22"/>
      <w:r>
        <w:t>15) об установлении накопительной части трудовой пенсии, срочной пенсионной выплаты, единовременной выплаты (в том числе о факте, периодичности и размере установленных выплат, об их корректировке, о суммах осуществленных выплат и выплатах правопреемника</w:t>
      </w:r>
      <w:r>
        <w:t>м умерших застрахованных лиц);</w:t>
      </w:r>
    </w:p>
    <w:p w:rsidR="00000000" w:rsidRDefault="00BD5E15">
      <w:bookmarkStart w:id="24" w:name="sub_1516"/>
      <w:bookmarkEnd w:id="23"/>
      <w:r>
        <w:t>16) о вступлении в силу решения суда о признании договора об обязательном пенсионном страховании недействительным;</w:t>
      </w:r>
    </w:p>
    <w:p w:rsidR="00000000" w:rsidRDefault="00BD5E15">
      <w:bookmarkStart w:id="25" w:name="sub_1517"/>
      <w:bookmarkEnd w:id="24"/>
      <w:r>
        <w:t>17) об умерших застрахованных лицах, суммы средств (части средств) материнског</w:t>
      </w:r>
      <w:r>
        <w:t>о (семейного) капитала которых переданы в Пенсионный фонд Российской Федерации;</w:t>
      </w:r>
    </w:p>
    <w:p w:rsidR="00000000" w:rsidRDefault="00BD5E15">
      <w:bookmarkStart w:id="26" w:name="sub_1518"/>
      <w:bookmarkEnd w:id="25"/>
      <w:r>
        <w:t>18) об отражении на пенсионных счетах накопительной части трудовой пенсии застрахованных лиц по состоянию на 31 декабря каждого года не позднее 31 марта следующ</w:t>
      </w:r>
      <w:r>
        <w:t>его года результатов инвестирования средств пенсионных накоплений, в том числе дополнительных страховых взносов на накопительную часть трудовой пенсии по старости, взносов работодателя, взносов на софинансирование формирования пенсионных накоплений, средст</w:t>
      </w:r>
      <w:r>
        <w:t>в (части средств) материнского (семейного) капитала, направленных на формирование накопительной части трудовой пенсии</w:t>
      </w:r>
      <w:hyperlink w:anchor="sub_222" w:history="1">
        <w:r>
          <w:rPr>
            <w:rStyle w:val="a4"/>
          </w:rPr>
          <w:t>**</w:t>
        </w:r>
      </w:hyperlink>
      <w:r>
        <w:t>;</w:t>
      </w:r>
    </w:p>
    <w:p w:rsidR="00000000" w:rsidRDefault="00BD5E15">
      <w:bookmarkStart w:id="27" w:name="sub_1519"/>
      <w:bookmarkEnd w:id="26"/>
      <w:r>
        <w:t>19) о сумме средств пенсионных накоплений, переданных при переходе застрахованного лица из нег</w:t>
      </w:r>
      <w:r>
        <w:t>осударственного пенсионного фонда в другой негосударственный пенсионный фонд</w:t>
      </w:r>
      <w:hyperlink w:anchor="sub_222" w:history="1">
        <w:r>
          <w:rPr>
            <w:rStyle w:val="a4"/>
          </w:rPr>
          <w:t>**</w:t>
        </w:r>
      </w:hyperlink>
      <w:r>
        <w:t>.</w:t>
      </w:r>
    </w:p>
    <w:p w:rsidR="00000000" w:rsidRDefault="00BD5E15">
      <w:bookmarkStart w:id="28" w:name="sub_1006"/>
      <w:bookmarkEnd w:id="27"/>
      <w:r>
        <w:t>6. Негосударственный пенсионный фонд и Пенсионный фонд Российской Федерации обязаны подтвердить полномочия лиц, имеющих право подписыва</w:t>
      </w:r>
      <w:r>
        <w:t xml:space="preserve">ть электронный документ усиленной </w:t>
      </w:r>
      <w:hyperlink r:id="rId10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BD5E15">
      <w:bookmarkStart w:id="29" w:name="sub_1007"/>
      <w:bookmarkEnd w:id="28"/>
      <w:r>
        <w:t>7. Электронный документ признается имеющим равную юридическую силу с документом, составленным на бумажном носителе, заверенным со</w:t>
      </w:r>
      <w:r>
        <w:t>бственноручной подписью уполномоченного представителя негосударственного пенсионного фонда или Пенсионного фонда Российской Федерации, оттиском печати негосударственного пенсионного фонда или Пенсионного фонда Российской Федерации, при соблюдении требовани</w:t>
      </w:r>
      <w:r>
        <w:t xml:space="preserve">й, установленных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электронной подписи" (Собрание законодательства Российской Федерации, 2011, N 15, ст. 2036; N 27, ст. 3880; 2012, N 29, ст. 3988; 2013, N 14, ст. 1668;</w:t>
      </w:r>
      <w:r>
        <w:t xml:space="preserve"> N 27, ст. 3463, 3477; 2014, N11, ст. 1098; N 26, ст. 3390) и Соглашением.</w:t>
      </w:r>
    </w:p>
    <w:p w:rsidR="00000000" w:rsidRDefault="00BD5E15">
      <w:bookmarkStart w:id="30" w:name="sub_1008"/>
      <w:bookmarkEnd w:id="29"/>
      <w:r>
        <w:t>8. При обмене электронными документами негосударственный пенсионный фонд и Пенсионный фонд Российской Федерации обязаны использовать сертифицированные криптографичес</w:t>
      </w:r>
      <w:r>
        <w:t xml:space="preserve">кие средства защиты информации, реализующие функции </w:t>
      </w:r>
      <w:hyperlink r:id="rId12" w:history="1">
        <w:r>
          <w:rPr>
            <w:rStyle w:val="a4"/>
          </w:rPr>
          <w:t>электронной подписи</w:t>
        </w:r>
      </w:hyperlink>
      <w:r>
        <w:t xml:space="preserve"> и шифрования, обеспечивающие безопасность обрабатываемой информации, подтверждение авторства, целостности и подлинности электронного документа.</w:t>
      </w:r>
    </w:p>
    <w:p w:rsidR="00000000" w:rsidRDefault="00BD5E15">
      <w:bookmarkStart w:id="31" w:name="sub_1009"/>
      <w:bookmarkEnd w:id="30"/>
      <w:r>
        <w:t>9. Обмен электронными документами между негосударственным пенсионным фондом и Пенсионным фондом Российской Федерации по телекоммуникационным каналам связи осуществляется с использованием технологии сетевой защиты информации, применяемой в сист</w:t>
      </w:r>
      <w:r>
        <w:t>еме Пенсионного фонда Российской Федерации.</w:t>
      </w:r>
    </w:p>
    <w:p w:rsidR="00000000" w:rsidRDefault="00BD5E15">
      <w:bookmarkStart w:id="32" w:name="sub_1010"/>
      <w:bookmarkEnd w:id="31"/>
      <w:r>
        <w:t>10. Средства защиты информации, используемые негосударственным пенсионным фондом, должны быть совместимы со средствами защиты информации, используемыми Пенсионным фондом Российской Федерации, а та</w:t>
      </w:r>
      <w:r>
        <w:t>кже обеспечивать возможность подключения к сегменту системы электронного документооборота Пенсионного фонда Российской Федерации и работоспособность данных средств.</w:t>
      </w:r>
    </w:p>
    <w:p w:rsidR="00000000" w:rsidRDefault="00BD5E15">
      <w:bookmarkStart w:id="33" w:name="sub_1011"/>
      <w:bookmarkEnd w:id="32"/>
      <w:r>
        <w:t>11. Расходы по оплате каналов связи, средств связи и защиты информации, нео</w:t>
      </w:r>
      <w:r>
        <w:t xml:space="preserve">бходимых для электронного обмена информацией, негосударственный пенсионный </w:t>
      </w:r>
      <w:r>
        <w:lastRenderedPageBreak/>
        <w:t>фонд и Пенсионный фонд Российской Федерации производят за счет собственных средств.</w:t>
      </w:r>
    </w:p>
    <w:p w:rsidR="00000000" w:rsidRDefault="00BD5E15">
      <w:bookmarkStart w:id="34" w:name="sub_1012"/>
      <w:bookmarkEnd w:id="33"/>
      <w:r>
        <w:t>12. Для обеспечения информационной безопасности при взаимодействии негосударствен</w:t>
      </w:r>
      <w:r>
        <w:t>ного пенсионного фонда и Пенсионного фонда Российской Федерации, защиты электронного документооборота и формирования структуры создаваемой защищенной сети Пенсионный фонд Российской Федерации может заключать соответствующие соглашения со специализированным</w:t>
      </w:r>
      <w:r>
        <w:t>и организациями, имеющими лицензии на право деятельности со средствами криптографической защиты информации.</w:t>
      </w:r>
    </w:p>
    <w:bookmarkEnd w:id="34"/>
    <w:p w:rsidR="00000000" w:rsidRDefault="00BD5E15"/>
    <w:p w:rsidR="00000000" w:rsidRDefault="00BD5E15">
      <w:r>
        <w:t>_____________________________</w:t>
      </w:r>
    </w:p>
    <w:p w:rsidR="00000000" w:rsidRDefault="00BD5E15">
      <w:bookmarkStart w:id="35" w:name="sub_111"/>
      <w:r>
        <w:t xml:space="preserve">* В соответствии со </w:t>
      </w:r>
      <w:hyperlink r:id="rId13" w:history="1">
        <w:r>
          <w:rPr>
            <w:rStyle w:val="a4"/>
          </w:rPr>
          <w:t>статьей 49</w:t>
        </w:r>
      </w:hyperlink>
      <w:r>
        <w:t xml:space="preserve"> Федерального закона от 23 июля </w:t>
      </w:r>
      <w:r>
        <w:t>2013 г. N 251-ФЗ "О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рынков" (Собрание законодательства Р</w:t>
      </w:r>
      <w:r>
        <w:t>оссийской Федерации, 2013, N 30, ст. 4084).</w:t>
      </w:r>
    </w:p>
    <w:p w:rsidR="00000000" w:rsidRDefault="00BD5E15">
      <w:bookmarkStart w:id="36" w:name="sub_222"/>
      <w:bookmarkEnd w:id="35"/>
      <w:r>
        <w:t xml:space="preserve">** С 1 января 2015 г.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410-ФЗ "О внесении изменений в Федеральный закон "О негосударственных пенсионны</w:t>
      </w:r>
      <w:r>
        <w:t>х фондах" и отдельные законодательные акты Российской Федерации" (Собрание законодательства Российской Федерации, 2013, N 32, ст. 6975).</w:t>
      </w:r>
    </w:p>
    <w:bookmarkEnd w:id="36"/>
    <w:p w:rsidR="00BD5E15" w:rsidRDefault="00BD5E15"/>
    <w:sectPr w:rsidR="00BD5E15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6A1"/>
    <w:rsid w:val="00BD5E15"/>
    <w:rsid w:val="00F7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hyperlink" Target="garantF1://70319190.49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0622.0" TargetMode="External"/><Relationship Id="rId12" Type="http://schemas.openxmlformats.org/officeDocument/2006/relationships/hyperlink" Target="garantF1://12084522.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446.2" TargetMode="External"/><Relationship Id="rId11" Type="http://schemas.openxmlformats.org/officeDocument/2006/relationships/hyperlink" Target="garantF1://12084522.6" TargetMode="External"/><Relationship Id="rId5" Type="http://schemas.openxmlformats.org/officeDocument/2006/relationships/hyperlink" Target="garantF1://12011456.36407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84522.54" TargetMode="External"/><Relationship Id="rId4" Type="http://schemas.openxmlformats.org/officeDocument/2006/relationships/hyperlink" Target="garantF1://70707164.0" TargetMode="External"/><Relationship Id="rId9" Type="http://schemas.openxmlformats.org/officeDocument/2006/relationships/hyperlink" Target="garantF1://70338274.1000" TargetMode="External"/><Relationship Id="rId14" Type="http://schemas.openxmlformats.org/officeDocument/2006/relationships/hyperlink" Target="garantF1://704526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1625</Words>
  <Characters>9266</Characters>
  <Application>Microsoft Office Word</Application>
  <DocSecurity>0</DocSecurity>
  <Lines>77</Lines>
  <Paragraphs>21</Paragraphs>
  <ScaleCrop>false</ScaleCrop>
  <Company>НПП "Гарант-Сервис"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2014-12-08T06:11:00Z</dcterms:created>
  <dcterms:modified xsi:type="dcterms:W3CDTF">2014-12-08T06:11:00Z</dcterms:modified>
</cp:coreProperties>
</file>