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12A61">
      <w:pPr>
        <w:pStyle w:val="1"/>
      </w:pPr>
      <w:r>
        <w:t>Разъяснение допустимых методов амортизации</w:t>
      </w:r>
      <w:r>
        <w:br/>
        <w:t>(Поправки к Международному стандарту финансовой отчетности (IAS) 16 и Международному стандарту финансовой отчетности (IAS) 38)</w:t>
      </w:r>
      <w:r>
        <w:br/>
        <w:t xml:space="preserve">(введено в действие </w:t>
      </w:r>
      <w:r>
        <w:rPr>
          <w:rStyle w:val="a4"/>
        </w:rPr>
        <w:t>приказом</w:t>
      </w:r>
      <w:r>
        <w:t xml:space="preserve"> Минфина России от 30 октября 2014 г. N 127н)</w:t>
      </w:r>
    </w:p>
    <w:p w:rsidR="00000000" w:rsidRDefault="00612A61"/>
    <w:p w:rsidR="00000000" w:rsidRDefault="00612A61">
      <w:pPr>
        <w:pStyle w:val="1"/>
      </w:pPr>
      <w:bookmarkStart w:id="0" w:name="sub_1"/>
      <w:r>
        <w:t xml:space="preserve">Поправки к </w:t>
      </w:r>
      <w:r>
        <w:rPr>
          <w:rStyle w:val="a4"/>
        </w:rPr>
        <w:t>МСФО (IAS) 16</w:t>
      </w:r>
      <w:r>
        <w:t xml:space="preserve"> "Основные средства"</w:t>
      </w:r>
    </w:p>
    <w:bookmarkEnd w:id="0"/>
    <w:p w:rsidR="00000000" w:rsidRDefault="00612A61"/>
    <w:p w:rsidR="00000000" w:rsidRDefault="00612A61">
      <w:bookmarkStart w:id="1" w:name="sub_11"/>
      <w:r>
        <w:rPr>
          <w:rStyle w:val="a4"/>
        </w:rPr>
        <w:t>Подпункт (с) пункта 56</w:t>
      </w:r>
      <w:r>
        <w:t xml:space="preserve"> дополнить предложением следующего содержания:</w:t>
      </w:r>
    </w:p>
    <w:bookmarkEnd w:id="1"/>
    <w:p w:rsidR="00000000" w:rsidRDefault="00612A61">
      <w:r>
        <w:t>Ожидаемое будущее уменьшение цены продажи продукции, произведенной с использованием актива, может указывать на ожидаемое моральное или коммерческое устаревание актива, что, в свою очередь, может свидетел</w:t>
      </w:r>
      <w:r>
        <w:t>ьствовать об уменьшении будущих экономических выгод, заключенных в данном активе.</w:t>
      </w:r>
    </w:p>
    <w:p w:rsidR="00000000" w:rsidRDefault="00612A61">
      <w:bookmarkStart w:id="2" w:name="sub_12"/>
      <w:r>
        <w:t xml:space="preserve">После </w:t>
      </w:r>
      <w:r>
        <w:rPr>
          <w:rStyle w:val="a4"/>
        </w:rPr>
        <w:t>пункта 62</w:t>
      </w:r>
      <w:r>
        <w:t xml:space="preserve"> дополнить пунктом 62А следующего содержания:</w:t>
      </w:r>
    </w:p>
    <w:p w:rsidR="00000000" w:rsidRDefault="00612A61">
      <w:bookmarkStart w:id="3" w:name="sub_621"/>
      <w:bookmarkEnd w:id="2"/>
      <w:r>
        <w:t>62А Недопустимо применение метода амортизации, основанног</w:t>
      </w:r>
      <w:r>
        <w:t>о на выручке, генерируемой в результате деятельности, в которой задействован актив. Выручка, генерируемая в результате деятельности, в которой задействован актив, как правило, отражает факторы, отличные от потребления заключенных в данном активе экономичес</w:t>
      </w:r>
      <w:r>
        <w:t>ких выгод. Например, на выручку влияют другие используемые ресурсы и процессы, деятельность по продаже, а также изменения объемов и цен продаж. На ценовой компонент выручки может влиять инфляция, которая не имеет отношения к способу потребления актива.</w:t>
      </w:r>
    </w:p>
    <w:p w:rsidR="00000000" w:rsidRDefault="00612A61">
      <w:bookmarkStart w:id="4" w:name="sub_13"/>
      <w:bookmarkEnd w:id="3"/>
      <w:r>
        <w:t xml:space="preserve">После </w:t>
      </w:r>
      <w:r>
        <w:rPr>
          <w:rStyle w:val="a4"/>
        </w:rPr>
        <w:t>пункта 81G</w:t>
      </w:r>
      <w:r>
        <w:t xml:space="preserve"> дополнить пунктом 81I следующего содержания:</w:t>
      </w:r>
    </w:p>
    <w:p w:rsidR="00000000" w:rsidRDefault="00612A61">
      <w:bookmarkStart w:id="5" w:name="sub_8119"/>
      <w:bookmarkEnd w:id="4"/>
      <w:r>
        <w:t>81I Документ "Разъяснение допустимых методов амортизации (поправки к Международному стандарту финансовой отчетности (IAS) 16 и Межд</w:t>
      </w:r>
      <w:r>
        <w:t>ународному стандарту финансовой отчетности (IAS) 38), выпущенный в мае 2014 года, внес изменения в пункт 56 и добавил пункт 62А. Организация должна применять данные поправки перспективно в отношении годовых периодов, начинающихся 1 января 2016 года или пос</w:t>
      </w:r>
      <w:r>
        <w:t>ле этой даты. Допускается досрочное применение. Если организация применяет данные поправки в отношении более раннего периода, ей следует раскрыть данный факт.</w:t>
      </w:r>
    </w:p>
    <w:bookmarkEnd w:id="5"/>
    <w:p w:rsidR="00000000" w:rsidRDefault="00612A61"/>
    <w:p w:rsidR="00000000" w:rsidRDefault="00612A61">
      <w:pPr>
        <w:pStyle w:val="1"/>
      </w:pPr>
      <w:bookmarkStart w:id="6" w:name="sub_2"/>
      <w:r>
        <w:t xml:space="preserve">Поправки к </w:t>
      </w:r>
      <w:r>
        <w:rPr>
          <w:rStyle w:val="a4"/>
        </w:rPr>
        <w:t>МСФО (IAS) 38</w:t>
      </w:r>
      <w:r>
        <w:t xml:space="preserve"> "Нематериальные активы</w:t>
      </w:r>
      <w:r>
        <w:t>"</w:t>
      </w:r>
    </w:p>
    <w:bookmarkEnd w:id="6"/>
    <w:p w:rsidR="00000000" w:rsidRDefault="00612A61"/>
    <w:p w:rsidR="00000000" w:rsidRDefault="00612A61">
      <w:bookmarkStart w:id="7" w:name="sub_21"/>
      <w:r>
        <w:rPr>
          <w:rStyle w:val="a4"/>
        </w:rPr>
        <w:t>Пункт 92</w:t>
      </w:r>
      <w:r>
        <w:t xml:space="preserve"> изложить в следующей редакции:</w:t>
      </w:r>
    </w:p>
    <w:p w:rsidR="00000000" w:rsidRDefault="00612A61">
      <w:bookmarkStart w:id="8" w:name="sub_1592"/>
      <w:bookmarkEnd w:id="7"/>
      <w:r>
        <w:t>92</w:t>
      </w:r>
      <w:proofErr w:type="gramStart"/>
      <w:r>
        <w:t xml:space="preserve"> В</w:t>
      </w:r>
      <w:proofErr w:type="gramEnd"/>
      <w:r>
        <w:t xml:space="preserve">виду быстрых изменений, происходящих в области технологий, компьютерное программное обеспечение и многие другие нематериальные активы подвержены </w:t>
      </w:r>
      <w:r>
        <w:t>технологическому устареванию. Таким образом, зачастую их срок полезного использования будет коротким. Ожидаемое будущее уменьшение цены продажи продукции, произведенной с использованием нематериального актива, может указывать на ожидаемое моральное или ком</w:t>
      </w:r>
      <w:r>
        <w:t>мерческое устаревание актива, что, в свою очередь, может свидетельствовать об уменьшение будущих экономических выгод, заключенных в данном активе.</w:t>
      </w:r>
    </w:p>
    <w:p w:rsidR="00000000" w:rsidRDefault="00612A61">
      <w:bookmarkStart w:id="9" w:name="sub_22"/>
      <w:bookmarkEnd w:id="8"/>
      <w:r>
        <w:t xml:space="preserve">После </w:t>
      </w:r>
      <w:r>
        <w:rPr>
          <w:rStyle w:val="a4"/>
        </w:rPr>
        <w:t>пункта 98</w:t>
      </w:r>
      <w:r>
        <w:t xml:space="preserve"> дополнить пунктами 98А, 98В, 98С следующ</w:t>
      </w:r>
      <w:r>
        <w:t>его содержания:</w:t>
      </w:r>
    </w:p>
    <w:p w:rsidR="00000000" w:rsidRDefault="00612A61">
      <w:bookmarkStart w:id="10" w:name="sub_981"/>
      <w:bookmarkEnd w:id="9"/>
      <w:r>
        <w:t>98А</w:t>
      </w:r>
      <w:proofErr w:type="gramStart"/>
      <w:r>
        <w:t xml:space="preserve"> С</w:t>
      </w:r>
      <w:proofErr w:type="gramEnd"/>
      <w:r>
        <w:t xml:space="preserve">уществует опровержимое допущение, что применение метода амортизации, основанного на выручке, генерируемой в результате деятельности, в которой задействован актив, не является допустимым. Выручка, генерируемая в результате </w:t>
      </w:r>
      <w:r>
        <w:t xml:space="preserve">деятельности, в которой задействован актив, как правило, отражает факторы, отличные от потребления заключенных в данном нематериальном активе </w:t>
      </w:r>
      <w:r>
        <w:lastRenderedPageBreak/>
        <w:t>экономических выгод. Например, на выручку влияют другие используемые ресурсы и процессы, деятельность по продаже и</w:t>
      </w:r>
      <w:r>
        <w:t xml:space="preserve"> изменения объемов и цен продаж. На ценовой компонент выручки может влиять инфляция, которая не имеет отношения к способу потребления актива. Данное допущение может быть опровергнуто лишь в ограниченных случаях:</w:t>
      </w:r>
    </w:p>
    <w:p w:rsidR="00000000" w:rsidRDefault="00612A61">
      <w:bookmarkStart w:id="11" w:name="sub_9811"/>
      <w:bookmarkEnd w:id="10"/>
      <w:r>
        <w:t>(a) если нематериальный актив</w:t>
      </w:r>
      <w:r>
        <w:t xml:space="preserve"> выражен как оценка выручки, как описано в </w:t>
      </w:r>
      <w:r>
        <w:rPr>
          <w:rStyle w:val="a4"/>
        </w:rPr>
        <w:t>пункте 98С</w:t>
      </w:r>
      <w:r>
        <w:t>; либо</w:t>
      </w:r>
    </w:p>
    <w:p w:rsidR="00000000" w:rsidRDefault="00612A61">
      <w:bookmarkStart w:id="12" w:name="sub_9812"/>
      <w:bookmarkEnd w:id="11"/>
      <w:proofErr w:type="gramStart"/>
      <w:r>
        <w:t>(b) когда можно продемонстрировать, что выручка и потребление экономических выгод от нематериального актива в высшей степени взаимосвязаны.</w:t>
      </w:r>
      <w:proofErr w:type="gramEnd"/>
    </w:p>
    <w:p w:rsidR="00000000" w:rsidRDefault="00612A61">
      <w:bookmarkStart w:id="13" w:name="sub_982"/>
      <w:bookmarkEnd w:id="12"/>
      <w:r>
        <w:t>98В</w:t>
      </w:r>
      <w:proofErr w:type="gramStart"/>
      <w:r>
        <w:t xml:space="preserve"> П</w:t>
      </w:r>
      <w:proofErr w:type="gramEnd"/>
      <w:r>
        <w:t xml:space="preserve">ри выборе допустимого метода амортизации в соответствии с </w:t>
      </w:r>
      <w:r>
        <w:rPr>
          <w:rStyle w:val="a4"/>
        </w:rPr>
        <w:t>пунктом 98</w:t>
      </w:r>
      <w:r>
        <w:t>, организация может определить преобладающий ограничивающий фактор, присущий данному нематериальному активу. Например, в договоре, устанавливающ</w:t>
      </w:r>
      <w:r>
        <w:t>ем права организации в отношении использования нематериального актива, использование нематериального актива организацией может быть выражено как определенное количество лет (т.е. время), количество произведенных единиц или фиксированная общая сумма выручки</w:t>
      </w:r>
      <w:r>
        <w:t>, которая будет сгенерирована активом. Определение такого преобладающего ограничивающего фактора может служить отправной точкой для определения допустимой основы для амортизации, но при этом возможно использование другой основы, если она более четко отража</w:t>
      </w:r>
      <w:r>
        <w:t>ет ожидаемый характер потребления экономических выгод.</w:t>
      </w:r>
    </w:p>
    <w:p w:rsidR="00000000" w:rsidRDefault="00612A61">
      <w:bookmarkStart w:id="14" w:name="sub_983"/>
      <w:bookmarkEnd w:id="13"/>
      <w:r>
        <w:t>98С В случаях, когда преобладающим ограничивающим фактором, присущим нематериальному активу, является достижение порогового значения выручки, выручка, которая будет сгенерирована, являетс</w:t>
      </w:r>
      <w:r>
        <w:t xml:space="preserve">я допустимой основой для амортизации. Например, организация приобрела концессию на разведку и добычу золота на золотодобывающем руднике. </w:t>
      </w:r>
      <w:proofErr w:type="gramStart"/>
      <w:r>
        <w:t>Истечение срока действия договора может быть привязано к получению фиксированной суммы общей выручки, которая будет сге</w:t>
      </w:r>
      <w:r>
        <w:t>нерирована в результате добычи (например, договор может предусматривать добычу золота на руднике до тех пор, пока общая совокупная выручка от продажи не составит 2 миллиарда д.е.) и не будет зависеть от времени или количества добытого золота.</w:t>
      </w:r>
      <w:proofErr w:type="gramEnd"/>
      <w:r>
        <w:t xml:space="preserve"> В другом прим</w:t>
      </w:r>
      <w:r>
        <w:t>ере право на эксплуатацию платной дороги может быть основано на фиксированной общей сумме выручки, которая будет сгенерирована за счет взимаемых дорожных сборов (например, договор может предусматривать эксплуатацию платной дороги до тех пор, пока совокупна</w:t>
      </w:r>
      <w:r>
        <w:t xml:space="preserve">я сумма сборов, полученных в результате ее эксплуатации, не составит 100 миллионов д.е.). </w:t>
      </w:r>
      <w:proofErr w:type="gramStart"/>
      <w:r>
        <w:t>В случае, когда в договоре на использование нематериального актива выручка была определена в качестве преобладающего ограничивающего фактора, выручка, которая будет с</w:t>
      </w:r>
      <w:r>
        <w:t>генерирована в результате использования актива, может являться допустимой основой для амортизации нематериального актива при условии, что в договоре указывается фиксированная общая сумма выручки, которая будет сгенерирована, на основе которой будет определ</w:t>
      </w:r>
      <w:r>
        <w:t>яться амортизация.</w:t>
      </w:r>
      <w:proofErr w:type="gramEnd"/>
    </w:p>
    <w:p w:rsidR="00000000" w:rsidRDefault="00612A61">
      <w:bookmarkStart w:id="15" w:name="sub_23"/>
      <w:bookmarkEnd w:id="14"/>
      <w:r>
        <w:t xml:space="preserve">После </w:t>
      </w:r>
      <w:r>
        <w:rPr>
          <w:rStyle w:val="a4"/>
        </w:rPr>
        <w:t>пункта 130G</w:t>
      </w:r>
      <w:r>
        <w:t xml:space="preserve"> дополнить пунктом 130J следующего содержания:</w:t>
      </w:r>
    </w:p>
    <w:p w:rsidR="00000000" w:rsidRDefault="00612A61">
      <w:bookmarkStart w:id="16" w:name="sub_13007"/>
      <w:bookmarkEnd w:id="15"/>
      <w:r>
        <w:t xml:space="preserve">130J Документ "Разъяснение допустимых методов амортизации (поправки к Международному стандарту финансовой </w:t>
      </w:r>
      <w:r>
        <w:t>отчетности (IAS) 16 и Международному стандарту финансовой отчетности (IAS) 38)", выпущенный в мае 2014 года, внес изменения в пункты 92 и 98 и добавил пункты 98А - 98С. Организация должна применять данные поправки перспективно в отношении годовых периодов,</w:t>
      </w:r>
      <w:r>
        <w:t xml:space="preserve"> начинающихся 1 января 2016 года или после этой даты. Допускается досрочное применение. Если организация применяет данные поправки в отношении более раннего периода, ей следует раскрыть данный факт.</w:t>
      </w:r>
    </w:p>
    <w:bookmarkEnd w:id="16"/>
    <w:p w:rsidR="00612A61" w:rsidRDefault="00612A61"/>
    <w:sectPr w:rsidR="00612A61">
      <w:pgSz w:w="118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7855"/>
    <w:rsid w:val="00612A61"/>
    <w:rsid w:val="00F478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character" w:customStyle="1" w:styleId="aff4">
    <w:name w:val="Не вступил в силу"/>
    <w:basedOn w:val="a3"/>
    <w:uiPriority w:val="99"/>
    <w:rPr>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20"/>
      <w:szCs w:val="20"/>
    </w:rPr>
  </w:style>
  <w:style w:type="paragraph" w:customStyle="1" w:styleId="affb">
    <w:name w:val="Подвал для информации об изменениях"/>
    <w:basedOn w:val="1"/>
    <w:next w:val="a"/>
    <w:uiPriority w:val="99"/>
    <w:pPr>
      <w:outlineLvl w:val="9"/>
    </w:pPr>
    <w:rPr>
      <w:b w:val="0"/>
      <w:bCs w:val="0"/>
      <w:sz w:val="20"/>
      <w:szCs w:val="20"/>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2"/>
      <w:szCs w:val="22"/>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2"/>
      <w:szCs w:val="22"/>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957</Words>
  <Characters>5458</Characters>
  <Application>Microsoft Office Word</Application>
  <DocSecurity>0</DocSecurity>
  <Lines>45</Lines>
  <Paragraphs>12</Paragraphs>
  <ScaleCrop>false</ScaleCrop>
  <Company>НПП "Гарант-Сервис"</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market</cp:lastModifiedBy>
  <cp:revision>2</cp:revision>
  <dcterms:created xsi:type="dcterms:W3CDTF">2014-12-08T06:42:00Z</dcterms:created>
  <dcterms:modified xsi:type="dcterms:W3CDTF">2014-12-08T06:42:00Z</dcterms:modified>
</cp:coreProperties>
</file>