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0BB6">
      <w:pPr>
        <w:pStyle w:val="1"/>
      </w:pPr>
      <w:r>
        <w:rPr>
          <w:rStyle w:val="a4"/>
          <w:b/>
          <w:bCs/>
        </w:rPr>
        <w:t>Информация Банка России от 6 февраля 2015 г.</w:t>
      </w:r>
      <w:r>
        <w:rPr>
          <w:rStyle w:val="a4"/>
          <w:b/>
          <w:bCs/>
        </w:rPr>
        <w:br/>
        <w:t>"О начале применения плана счетов бухгалтерского учета и отрасл</w:t>
      </w:r>
      <w:r>
        <w:rPr>
          <w:rStyle w:val="a4"/>
          <w:b/>
          <w:bCs/>
        </w:rPr>
        <w:t>евых стандартов бухгалтерского учета для некредитных финансовых организаций"</w:t>
      </w:r>
    </w:p>
    <w:p w:rsidR="00000000" w:rsidRDefault="004C0BB6"/>
    <w:p w:rsidR="00000000" w:rsidRDefault="004C0BB6">
      <w:r>
        <w:t xml:space="preserve">В соответствии с </w:t>
      </w:r>
      <w:r>
        <w:rPr>
          <w:rStyle w:val="a4"/>
        </w:rPr>
        <w:t>пунктами 14</w:t>
      </w:r>
      <w:r>
        <w:t xml:space="preserve"> и </w:t>
      </w:r>
      <w:r>
        <w:rPr>
          <w:rStyle w:val="a4"/>
        </w:rPr>
        <w:t>14.1 статьи 4</w:t>
      </w:r>
      <w:r>
        <w:t xml:space="preserve"> Федерального закона от 10.07.2002 N </w:t>
      </w:r>
      <w:r>
        <w:t>86-ФЗ "О Центральном банке Российской Федерации (Банке России)" Банк России разработал проекты плана счетов бухгалтерского учета и отраслевых стандартов бухгалтерского учета для некредитных финансовых организаций (далее - План счетов и ОСБУ для НФО).</w:t>
      </w:r>
    </w:p>
    <w:p w:rsidR="00000000" w:rsidRDefault="004C0BB6">
      <w:r>
        <w:t>Основ</w:t>
      </w:r>
      <w:r>
        <w:t>ой разработки Плана счетов и ОСБУ для НФО являются Международные стандарты финансовой отчетности (МСФО).</w:t>
      </w:r>
    </w:p>
    <w:p w:rsidR="00000000" w:rsidRDefault="004C0BB6">
      <w:r>
        <w:t>Планируется, что План счетов и ОСБУ для НФО вступят в силу в соответствии со следующим порядком:</w:t>
      </w:r>
    </w:p>
    <w:p w:rsidR="00000000" w:rsidRDefault="004C0BB6">
      <w:bookmarkStart w:id="0" w:name="sub_1"/>
      <w:r>
        <w:t>1. С 01.01.2017 для некредитных финансовых органи</w:t>
      </w:r>
      <w:r>
        <w:t>заций, осуществляющих следующие виды деятельности:</w:t>
      </w:r>
    </w:p>
    <w:bookmarkEnd w:id="0"/>
    <w:p w:rsidR="00000000" w:rsidRDefault="004C0BB6">
      <w:r>
        <w:t>профессиональных участников рынка ценных бумаг;</w:t>
      </w:r>
    </w:p>
    <w:p w:rsidR="00000000" w:rsidRDefault="004C0BB6">
      <w:r>
        <w:t>управляющих компаний инвестиционного фонда, паевого инвестиционного фонда и негосударственного пенсионного фонда;</w:t>
      </w:r>
    </w:p>
    <w:p w:rsidR="00000000" w:rsidRDefault="004C0BB6">
      <w:r>
        <w:t>специализированных депозитариев инвест</w:t>
      </w:r>
      <w:r>
        <w:t>иционного фонда, паевого инвестиционного фонда и негосударственного пенсионного фонда;</w:t>
      </w:r>
    </w:p>
    <w:p w:rsidR="00000000" w:rsidRDefault="004C0BB6">
      <w:r>
        <w:t>акционерных инвестиционных фондов;</w:t>
      </w:r>
    </w:p>
    <w:p w:rsidR="00000000" w:rsidRDefault="004C0BB6">
      <w:r>
        <w:t>клиринговую деятельность;</w:t>
      </w:r>
    </w:p>
    <w:p w:rsidR="00000000" w:rsidRDefault="004C0BB6">
      <w:r>
        <w:t>деятельность по осуществлению функций центрального контрагента;</w:t>
      </w:r>
    </w:p>
    <w:p w:rsidR="00000000" w:rsidRDefault="004C0BB6">
      <w:r>
        <w:t>деятельность организатора торговли;</w:t>
      </w:r>
    </w:p>
    <w:p w:rsidR="00000000" w:rsidRDefault="004C0BB6">
      <w:r>
        <w:t>деятельн</w:t>
      </w:r>
      <w:r>
        <w:t>ость субъектов страхового дела;</w:t>
      </w:r>
    </w:p>
    <w:p w:rsidR="00000000" w:rsidRDefault="004C0BB6">
      <w:r>
        <w:t>негосударственных пенсионных фондов;</w:t>
      </w:r>
    </w:p>
    <w:p w:rsidR="00000000" w:rsidRDefault="004C0BB6">
      <w:r>
        <w:t>бюро кредитных историй;</w:t>
      </w:r>
    </w:p>
    <w:p w:rsidR="00000000" w:rsidRDefault="004C0BB6">
      <w:r>
        <w:t>рейтинговых агентств.</w:t>
      </w:r>
    </w:p>
    <w:p w:rsidR="00000000" w:rsidRDefault="004C0BB6">
      <w:bookmarkStart w:id="1" w:name="sub_2"/>
      <w:r>
        <w:t>2. С 01.01.2018 для некредитных финансовых организаций, осуществляющих следующие виды деятельности:</w:t>
      </w:r>
    </w:p>
    <w:bookmarkEnd w:id="1"/>
    <w:p w:rsidR="00000000" w:rsidRDefault="004C0BB6">
      <w:r>
        <w:t>микрофинансовых организаций;</w:t>
      </w:r>
    </w:p>
    <w:p w:rsidR="00000000" w:rsidRDefault="004C0BB6">
      <w:r>
        <w:t>кр</w:t>
      </w:r>
      <w:r>
        <w:t>едитных потребительских кооперативов;</w:t>
      </w:r>
    </w:p>
    <w:p w:rsidR="00000000" w:rsidRDefault="004C0BB6">
      <w:r>
        <w:t>жилищных накопительных кооперативов.</w:t>
      </w:r>
    </w:p>
    <w:p w:rsidR="00000000" w:rsidRDefault="004C0BB6">
      <w:bookmarkStart w:id="2" w:name="sub_3"/>
      <w:r>
        <w:t>3. С 01.01.2019 для некредитных финансовых организаций, осуществляющих следующие виды деятельности:</w:t>
      </w:r>
    </w:p>
    <w:bookmarkEnd w:id="2"/>
    <w:p w:rsidR="00000000" w:rsidRDefault="004C0BB6">
      <w:r>
        <w:t>сельскохозяйственных кредитных потребительских кооперативов;</w:t>
      </w:r>
    </w:p>
    <w:p w:rsidR="00000000" w:rsidRDefault="004C0BB6">
      <w:r>
        <w:t>ломбардов.</w:t>
      </w:r>
    </w:p>
    <w:p w:rsidR="00000000" w:rsidRDefault="004C0BB6">
      <w:r>
        <w:t>При этом предполагается, что страховщики и негосударственные пенсионные фонды разработают план перехода на План счетов и ОСБУ для НФО и представят его в Банк России на согласование.</w:t>
      </w:r>
    </w:p>
    <w:p w:rsidR="00000000" w:rsidRDefault="004C0BB6">
      <w:r>
        <w:t>Банк России в рамках индикативного периода будет осуществлять контроль ис</w:t>
      </w:r>
      <w:r>
        <w:t>полнения страховщиками и негосударственными пенсионными фондами разработанных планов перехода на ежеквартальной основе, начиная с третьего квартала 2015 года.</w:t>
      </w:r>
    </w:p>
    <w:p w:rsidR="004C0BB6" w:rsidRDefault="004C0BB6">
      <w:r>
        <w:t xml:space="preserve">Первым отчетным периодом, за который некредитная финансовая организация составляет бухгалтерскую </w:t>
      </w:r>
      <w:r>
        <w:t>(финансовую) отчетность в соответствии с ОСБУ для НФО, является период, начинающийся с 1 января года, соответствующего году вступления в силу Плана счетов и ОСБУ для НФО (в зависимости от осуществляемого некредитной финансовой организацией вида деятельност</w:t>
      </w:r>
      <w:r>
        <w:t>и).</w:t>
      </w:r>
    </w:p>
    <w:sectPr w:rsidR="004C0BB6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783"/>
    <w:rsid w:val="004C0BB6"/>
    <w:rsid w:val="00C9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2166</Characters>
  <Application>Microsoft Office Word</Application>
  <DocSecurity>0</DocSecurity>
  <Lines>18</Lines>
  <Paragraphs>5</Paragraphs>
  <ScaleCrop>false</ScaleCrop>
  <Company>НПП "Гарант-Сервис"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2015-02-16T06:13:00Z</dcterms:created>
  <dcterms:modified xsi:type="dcterms:W3CDTF">2015-02-16T06:13:00Z</dcterms:modified>
</cp:coreProperties>
</file>