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05D6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10 декабря 2014 г. N 03-04-06/</w:t>
      </w:r>
      <w:r>
        <w:rPr>
          <w:rStyle w:val="a4"/>
          <w:b/>
          <w:bCs/>
        </w:rPr>
        <w:t>63497</w:t>
      </w:r>
    </w:p>
    <w:p w:rsidR="00000000" w:rsidRDefault="00BC05D6"/>
    <w:p w:rsidR="00000000" w:rsidRDefault="00BC05D6">
      <w:r>
        <w:t>Департамент налоговой и таможенно-тарифной политики р</w:t>
      </w:r>
      <w:r>
        <w:t xml:space="preserve">ассмотрел письмо ООО (далее - Общество) об отдельных вопросах налогообложения доходов физических лиц при осуществлении доверительного управления имуществом налогоплательщика и в соответствии со </w:t>
      </w:r>
      <w:r>
        <w:rPr>
          <w:rStyle w:val="a4"/>
        </w:rPr>
        <w:t>статьей 34.2</w:t>
      </w:r>
      <w:r>
        <w:t xml:space="preserve"> Налогово</w:t>
      </w:r>
      <w:r>
        <w:t>го кодекса Российской Федерации (далее - Кодекс) разъясняем следующее.</w:t>
      </w:r>
    </w:p>
    <w:p w:rsidR="00000000" w:rsidRDefault="00BC05D6">
      <w:r>
        <w:t>Из письма следует, что Общество в рамках договоров доверительного управления с физическими лицами часть активов размещает на депозитных счетах, а оставшиеся активы размещаются на срочно</w:t>
      </w:r>
      <w:r>
        <w:t>м рынке для проведения операций с опционами.</w:t>
      </w:r>
    </w:p>
    <w:p w:rsidR="00000000" w:rsidRDefault="00BC05D6">
      <w:r>
        <w:t xml:space="preserve">В соответствии с </w:t>
      </w:r>
      <w:r>
        <w:rPr>
          <w:rStyle w:val="a4"/>
        </w:rPr>
        <w:t>пунктами 12</w:t>
      </w:r>
      <w:r>
        <w:t xml:space="preserve"> и </w:t>
      </w:r>
      <w:r>
        <w:rPr>
          <w:rStyle w:val="a4"/>
        </w:rPr>
        <w:t>14 статьи 214.1</w:t>
      </w:r>
      <w:r>
        <w:t xml:space="preserve"> Кодекса финансовый результат (налоговая база) по операциям с ценными бумагами и </w:t>
      </w:r>
      <w:r>
        <w:t xml:space="preserve">по операциям с финансовыми инструментами срочных сделок определяется как доходы от операций за вычетом соответствующих расходов, указанных в </w:t>
      </w:r>
      <w:r>
        <w:rPr>
          <w:rStyle w:val="a4"/>
        </w:rPr>
        <w:t>пункте 10</w:t>
      </w:r>
      <w:r>
        <w:t xml:space="preserve"> данной статьи.</w:t>
      </w:r>
    </w:p>
    <w:p w:rsidR="00000000" w:rsidRDefault="00BC05D6">
      <w:r>
        <w:t xml:space="preserve">Согласно </w:t>
      </w:r>
      <w:r>
        <w:rPr>
          <w:rStyle w:val="a4"/>
        </w:rPr>
        <w:t>пун</w:t>
      </w:r>
      <w:r>
        <w:rPr>
          <w:rStyle w:val="a4"/>
        </w:rPr>
        <w:t>кту 7 статьи 214.1</w:t>
      </w:r>
      <w:r>
        <w:t xml:space="preserve"> Кодекса доходами по операциям с финансовыми инструментами срочных сделок признаются доходы от реализации финансовых инструментов срочных сделок, полученные в </w:t>
      </w:r>
      <w:r>
        <w:rPr>
          <w:rStyle w:val="a4"/>
        </w:rPr>
        <w:t>налоговом периоде</w:t>
      </w:r>
      <w:r>
        <w:t xml:space="preserve">, включая полученные </w:t>
      </w:r>
      <w:r>
        <w:t>суммы вариационной маржи и премии по контрактам.</w:t>
      </w:r>
    </w:p>
    <w:p w:rsidR="00000000" w:rsidRDefault="00BC05D6">
      <w:r>
        <w:t xml:space="preserve">В соответствии с </w:t>
      </w:r>
      <w:r>
        <w:rPr>
          <w:rStyle w:val="a4"/>
        </w:rPr>
        <w:t>пунктом 10</w:t>
      </w:r>
      <w:r>
        <w:t xml:space="preserve"> указанной статьи расходами по операциям с финансовыми инструментами срочных сделок признаются документально подтвержденные и фактически ос</w:t>
      </w:r>
      <w:r>
        <w:t>уществленные налогоплательщиком расходы, связанные с совершением операций с финансовыми инструментами срочных сделок, с исполнением и прекращением обязательств по таким сделкам. К указанным расходам, в частности, относятся суммы уплаченной вариационной мар</w:t>
      </w:r>
      <w:r>
        <w:t>жи и (или) премии по контрактам, а также иные периодические или разовые выплаты, предусмотренные условиями финансовых инструментов срочных сделок, а также оплата услуг, оказываемых профессиональными участниками рынка ценных бумаг.</w:t>
      </w:r>
    </w:p>
    <w:p w:rsidR="00000000" w:rsidRDefault="00BC05D6">
      <w:r>
        <w:t xml:space="preserve">Согласно </w:t>
      </w:r>
      <w:r>
        <w:rPr>
          <w:rStyle w:val="a4"/>
        </w:rPr>
        <w:t>пункту 12 статьи 214.1</w:t>
      </w:r>
      <w:r>
        <w:t xml:space="preserve"> Кодекса финансовый результат по операциям с ценными бумагами и по операциям с финансовыми инструментами срочных сделок определяется как доходы от операций за вычетом соответствующих расходов, указанных в </w:t>
      </w:r>
      <w:r>
        <w:rPr>
          <w:rStyle w:val="a4"/>
        </w:rPr>
        <w:t>пункте 10</w:t>
      </w:r>
      <w:r>
        <w:t xml:space="preserve"> данной статьи.</w:t>
      </w:r>
    </w:p>
    <w:p w:rsidR="00000000" w:rsidRDefault="00BC05D6">
      <w:proofErr w:type="gramStart"/>
      <w:r>
        <w:t xml:space="preserve">При этом расходы, которые не могут быть непосредственно отнесены на уменьшение дохода по операциям с ценными бумагами или по операциям с финансовыми инструментами срочных сделок, обращающимися </w:t>
      </w:r>
      <w:r>
        <w:t>или необращающимися на организованном рынке, либо на уменьшение соответствующего вида дохода, распределяются пропорционально доле каждого вида дохода и включаются в расходы при определении финансового результата налоговым агентом.</w:t>
      </w:r>
      <w:proofErr w:type="gramEnd"/>
    </w:p>
    <w:p w:rsidR="00000000" w:rsidRDefault="00BC05D6">
      <w:proofErr w:type="gramStart"/>
      <w:r>
        <w:t>Исходя из данного принцип</w:t>
      </w:r>
      <w:r>
        <w:t>а распределения расходов, вознаграждение, выплачиваемое Обществу, осуществляющему в рамках договора доверительного управления активами физического лица размещение части активов в депозиты, а другой части в доверительное управление на рынке ценных бумаг, сл</w:t>
      </w:r>
      <w:r>
        <w:t>едует относить к доходам от операций на срочном рынке пропорционально доле доходов от таких операций в общей сумме доходов, полученных налогоплательщиком от доверительного управления всеми его активами</w:t>
      </w:r>
      <w:proofErr w:type="gramEnd"/>
      <w:r>
        <w:t xml:space="preserve">, </w:t>
      </w:r>
      <w:proofErr w:type="gramStart"/>
      <w:r>
        <w:t>переданными</w:t>
      </w:r>
      <w:proofErr w:type="gramEnd"/>
      <w:r>
        <w:t xml:space="preserve"> Обществу.</w:t>
      </w:r>
    </w:p>
    <w:p w:rsidR="00000000" w:rsidRDefault="00BC05D6">
      <w:r>
        <w:t>Одновременно сообщается, что на</w:t>
      </w:r>
      <w:r>
        <w:t xml:space="preserve">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</w:t>
      </w:r>
      <w:r>
        <w:lastRenderedPageBreak/>
        <w:t>вопросам применения законодательства Российской Федерации о налогах и сборах</w:t>
      </w:r>
      <w:r>
        <w:t xml:space="preserve">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</w:t>
      </w:r>
      <w:r>
        <w:t>и сборах в понимании, отличающемся от трактовки, изложенной в настоящем письме.</w:t>
      </w:r>
    </w:p>
    <w:p w:rsidR="00000000" w:rsidRDefault="00BC05D6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C05D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05D6" w:rsidRDefault="00BC05D6">
            <w:pPr>
              <w:pStyle w:val="afff0"/>
              <w:rPr>
                <w:rFonts w:eastAsiaTheme="minorEastAsia"/>
              </w:rPr>
            </w:pPr>
            <w:r w:rsidRPr="00BC05D6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C05D6" w:rsidRDefault="00BC05D6">
            <w:pPr>
              <w:pStyle w:val="aff7"/>
              <w:jc w:val="right"/>
              <w:rPr>
                <w:rFonts w:eastAsiaTheme="minorEastAsia"/>
              </w:rPr>
            </w:pPr>
            <w:r w:rsidRPr="00BC05D6">
              <w:rPr>
                <w:rFonts w:eastAsiaTheme="minorEastAsia"/>
              </w:rPr>
              <w:t>И.В. Трунин</w:t>
            </w:r>
          </w:p>
        </w:tc>
      </w:tr>
    </w:tbl>
    <w:p w:rsidR="00BC05D6" w:rsidRDefault="00BC05D6"/>
    <w:sectPr w:rsidR="00BC05D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CE"/>
    <w:rsid w:val="004D1FCE"/>
    <w:rsid w:val="00BC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2015-02-24T06:46:00Z</dcterms:created>
  <dcterms:modified xsi:type="dcterms:W3CDTF">2015-02-24T06:46:00Z</dcterms:modified>
</cp:coreProperties>
</file>