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F00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</w:t>
      </w:r>
      <w:r>
        <w:rPr>
          <w:rStyle w:val="a4"/>
          <w:b/>
          <w:bCs/>
        </w:rPr>
        <w:br/>
        <w:t xml:space="preserve"> от 21 апреля 2015 г. N 03-03-06/</w:t>
      </w:r>
      <w:r>
        <w:rPr>
          <w:rStyle w:val="a4"/>
          <w:b/>
          <w:bCs/>
        </w:rPr>
        <w:t>1/22577</w:t>
      </w:r>
    </w:p>
    <w:p w:rsidR="00000000" w:rsidRDefault="00337F00"/>
    <w:p w:rsidR="00000000" w:rsidRDefault="00337F00">
      <w:r>
        <w:t>Департамент налоговой и таможенно-тарифной политики рассмотрел письмо по вопросу о правомерности применения амортизационной премии после введения объекта основных средств в эксплуатацию и сообщает следующее.</w:t>
      </w:r>
    </w:p>
    <w:p w:rsidR="00000000" w:rsidRDefault="00337F00">
      <w:proofErr w:type="gramStart"/>
      <w:r>
        <w:t xml:space="preserve">Согласно </w:t>
      </w:r>
      <w:r>
        <w:rPr>
          <w:rStyle w:val="a4"/>
        </w:rPr>
        <w:t>пункту 9 статьи 258</w:t>
      </w:r>
      <w:r>
        <w:t xml:space="preserve"> Налогового кодекса Российской Федерации (далее - Кодекс) налогоплательщик имеет право включать в состав расходов отчетного (налогового) периода расходы на капитальные вложения в размере не более 10</w:t>
      </w:r>
      <w:r>
        <w:t xml:space="preserve"> процентов (не более 30 процентов - в отношении основных средств, относящихся к третьей-седьмой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</w:t>
      </w:r>
      <w:proofErr w:type="gramEnd"/>
      <w:r>
        <w:t xml:space="preserve"> (не</w:t>
      </w:r>
      <w:r>
        <w:t xml:space="preserve"> более 30 процентов - в отношении основных средств, относящихся к третьей-седьмой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</w:t>
      </w:r>
      <w:r>
        <w:t xml:space="preserve">ых средств и суммы которых определяются в соответствии со </w:t>
      </w:r>
      <w:r>
        <w:rPr>
          <w:rStyle w:val="a4"/>
        </w:rPr>
        <w:t>статьей 257</w:t>
      </w:r>
      <w:r>
        <w:t xml:space="preserve"> Кодекса.</w:t>
      </w:r>
    </w:p>
    <w:p w:rsidR="00000000" w:rsidRDefault="00337F00">
      <w:r>
        <w:t>Таким образом, применение амортизационной премии является правом, а не обязанностью налогоплательщика. В этой связи, по мнению Департамента</w:t>
      </w:r>
      <w:r>
        <w:t>, в учетной политике для целей налогообложения прибыли организаций должен быть отражен порядок использования, размер амортизационной премии и критерии, согласно которым амортизационная премия применяется в отношении всех или отдельных объектов амортизируем</w:t>
      </w:r>
      <w:r>
        <w:t>ого имущества.</w:t>
      </w:r>
    </w:p>
    <w:p w:rsidR="00000000" w:rsidRDefault="00337F00">
      <w:proofErr w:type="gramStart"/>
      <w:r>
        <w:t xml:space="preserve">Учитывая изложенное, если организация не воспользовалась закрепленным в учетной политике правом применения амортизационной премии при вводе основного средства в эксплуатации, впоследствии, после введения в эксплуатацию указанного имущества, </w:t>
      </w:r>
      <w:r>
        <w:t>правом на применение амортизационной премии организация воспользоваться не сможет.</w:t>
      </w:r>
      <w:proofErr w:type="gramEnd"/>
    </w:p>
    <w:p w:rsidR="00000000" w:rsidRDefault="00337F0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37F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7F00" w:rsidRDefault="00337F00">
            <w:pPr>
              <w:pStyle w:val="afff0"/>
              <w:rPr>
                <w:rFonts w:eastAsiaTheme="minorEastAsia"/>
              </w:rPr>
            </w:pPr>
            <w:r w:rsidRPr="00337F00">
              <w:rPr>
                <w:rFonts w:eastAsiaTheme="minorEastAsia"/>
              </w:rPr>
              <w:t>Заместитель директора департамента</w:t>
            </w:r>
            <w:r w:rsidRPr="00337F00">
              <w:rPr>
                <w:rFonts w:eastAsiaTheme="minorEastAsia"/>
              </w:rPr>
              <w:br/>
              <w:t>налоговой и таможенно-тарифной</w:t>
            </w:r>
            <w:r w:rsidRPr="00337F00">
              <w:rPr>
                <w:rFonts w:eastAsiaTheme="minorEastAsia"/>
              </w:rPr>
              <w:br/>
              <w:t>политики 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7F00" w:rsidRDefault="00337F00">
            <w:pPr>
              <w:pStyle w:val="aff7"/>
              <w:jc w:val="right"/>
              <w:rPr>
                <w:rFonts w:eastAsiaTheme="minorEastAsia"/>
              </w:rPr>
            </w:pPr>
            <w:r w:rsidRPr="00337F00">
              <w:rPr>
                <w:rFonts w:eastAsiaTheme="minorEastAsia"/>
              </w:rPr>
              <w:t>А.С. Кизимов</w:t>
            </w:r>
          </w:p>
        </w:tc>
      </w:tr>
    </w:tbl>
    <w:p w:rsidR="00337F00" w:rsidRDefault="00337F00"/>
    <w:sectPr w:rsidR="00337F0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7C"/>
    <w:rsid w:val="00337F00"/>
    <w:rsid w:val="0057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НПП "Гарант-Сервис"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2015-05-18T05:59:00Z</dcterms:created>
  <dcterms:modified xsi:type="dcterms:W3CDTF">2015-05-18T05:59:00Z</dcterms:modified>
</cp:coreProperties>
</file>